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E880D" w14:textId="23982F8E" w:rsidR="00D14579" w:rsidRDefault="00D14579">
      <w:pPr>
        <w:spacing w:before="240" w:after="240"/>
        <w:jc w:val="center"/>
        <w:rPr>
          <w:b/>
        </w:rPr>
      </w:pPr>
    </w:p>
    <w:p w14:paraId="18DC99C4" w14:textId="77777777" w:rsidR="00D14579" w:rsidRDefault="00D14579">
      <w:pPr>
        <w:spacing w:before="240" w:after="240"/>
        <w:jc w:val="center"/>
        <w:rPr>
          <w:b/>
        </w:rPr>
      </w:pPr>
    </w:p>
    <w:p w14:paraId="2FFCF611" w14:textId="28156EC3" w:rsidR="00B838C5" w:rsidRDefault="00C823AE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Guidelines for appl</w:t>
      </w:r>
      <w:r w:rsidR="00805A30">
        <w:rPr>
          <w:b/>
          <w:sz w:val="28"/>
          <w:szCs w:val="28"/>
        </w:rPr>
        <w:t xml:space="preserve">ying to </w:t>
      </w:r>
      <w:r w:rsidR="00B838C5">
        <w:rPr>
          <w:b/>
          <w:sz w:val="28"/>
          <w:szCs w:val="28"/>
        </w:rPr>
        <w:t>organiz</w:t>
      </w:r>
      <w:r w:rsidR="00805A30">
        <w:rPr>
          <w:b/>
          <w:sz w:val="28"/>
          <w:szCs w:val="28"/>
        </w:rPr>
        <w:t xml:space="preserve">e </w:t>
      </w:r>
      <w:r w:rsidR="00B838C5">
        <w:rPr>
          <w:b/>
          <w:sz w:val="28"/>
          <w:szCs w:val="28"/>
        </w:rPr>
        <w:t xml:space="preserve">the </w:t>
      </w:r>
      <w:r w:rsidR="00AA2A9D" w:rsidRPr="00B838C5">
        <w:rPr>
          <w:b/>
          <w:sz w:val="28"/>
          <w:szCs w:val="28"/>
        </w:rPr>
        <w:t xml:space="preserve"> </w:t>
      </w:r>
    </w:p>
    <w:p w14:paraId="088A6FD6" w14:textId="015085D8" w:rsidR="000E79C8" w:rsidRPr="00B838C5" w:rsidRDefault="00AA2A9D">
      <w:pPr>
        <w:spacing w:before="240" w:after="240"/>
        <w:jc w:val="center"/>
        <w:rPr>
          <w:b/>
          <w:sz w:val="28"/>
          <w:szCs w:val="28"/>
        </w:rPr>
      </w:pPr>
      <w:r w:rsidRPr="00B838C5">
        <w:rPr>
          <w:b/>
          <w:sz w:val="28"/>
          <w:szCs w:val="28"/>
        </w:rPr>
        <w:t>International Sustainability Transitions conference</w:t>
      </w:r>
    </w:p>
    <w:p w14:paraId="41F10DE1" w14:textId="77777777" w:rsidR="000E79C8" w:rsidRDefault="00AA2A9D">
      <w:pPr>
        <w:spacing w:before="240" w:after="240"/>
      </w:pPr>
      <w:r>
        <w:t xml:space="preserve"> </w:t>
      </w:r>
    </w:p>
    <w:p w14:paraId="57AE3FDD" w14:textId="6045917E" w:rsidR="000E79C8" w:rsidRDefault="00AA2A9D" w:rsidP="00FD54ED">
      <w:pPr>
        <w:jc w:val="both"/>
      </w:pPr>
      <w:r>
        <w:t xml:space="preserve">The International Sustainability Transitions conference (IST) is the yearly scientific gathering of the global community of researchers, policymakers, and practitioners working on socio-technical transitions </w:t>
      </w:r>
      <w:r w:rsidR="00F1546B">
        <w:t>for</w:t>
      </w:r>
      <w:r>
        <w:t xml:space="preserve"> sustainability. IST is organized under the auspices of the </w:t>
      </w:r>
      <w:hyperlink r:id="rId8" w:history="1">
        <w:r w:rsidRPr="00F1546B">
          <w:rPr>
            <w:rStyle w:val="Hyperlink"/>
          </w:rPr>
          <w:t>Sustainability Transitions Research Network (STRN)</w:t>
        </w:r>
      </w:hyperlink>
      <w:r>
        <w:t xml:space="preserve">. Each year, a different institute, </w:t>
      </w:r>
      <w:r w:rsidR="0008184F">
        <w:t xml:space="preserve">chosen </w:t>
      </w:r>
      <w:r>
        <w:t>by the STRN steering group, organizes IST</w:t>
      </w:r>
      <w:r w:rsidR="00032517">
        <w:t xml:space="preserve"> (</w:t>
      </w:r>
      <w:r w:rsidR="00032517" w:rsidRPr="00032517">
        <w:rPr>
          <w:lang w:val="en-US"/>
        </w:rPr>
        <w:t>institutions may also join forces to host</w:t>
      </w:r>
      <w:r w:rsidR="00032517">
        <w:rPr>
          <w:lang w:val="en-US"/>
        </w:rPr>
        <w:t>)</w:t>
      </w:r>
      <w:r>
        <w:t xml:space="preserve">. STRN strives for a broad and balanced geographic representation in the choice of IST </w:t>
      </w:r>
      <w:r w:rsidR="00C8313B">
        <w:t>hosts</w:t>
      </w:r>
      <w:r>
        <w:t xml:space="preserve">. This note provides guidance for institutes </w:t>
      </w:r>
      <w:r w:rsidR="00DC4405">
        <w:t xml:space="preserve">who have been invited to submit a full application to </w:t>
      </w:r>
      <w:r w:rsidR="004E45A7">
        <w:t>host IST</w:t>
      </w:r>
      <w:r w:rsidR="00AC345F">
        <w:t xml:space="preserve">. </w:t>
      </w:r>
    </w:p>
    <w:p w14:paraId="52D4D3EE" w14:textId="77777777" w:rsidR="000E79C8" w:rsidRDefault="000E79C8" w:rsidP="00FD54ED">
      <w:pPr>
        <w:jc w:val="both"/>
      </w:pPr>
    </w:p>
    <w:p w14:paraId="49D338B6" w14:textId="67EB87C8" w:rsidR="000E79C8" w:rsidRDefault="00EC4EB9" w:rsidP="00FD54ED">
      <w:pPr>
        <w:jc w:val="both"/>
      </w:pPr>
      <w:r>
        <w:t xml:space="preserve">There are </w:t>
      </w:r>
      <w:r w:rsidR="00AA2A9D">
        <w:t xml:space="preserve">several goals </w:t>
      </w:r>
      <w:r>
        <w:t xml:space="preserve">associated with </w:t>
      </w:r>
      <w:r w:rsidR="00AA2A9D">
        <w:t xml:space="preserve">IST. IST is the </w:t>
      </w:r>
      <w:r>
        <w:t xml:space="preserve">main networking event </w:t>
      </w:r>
      <w:r w:rsidR="00AA2A9D">
        <w:t>of the global sustainability transitions community</w:t>
      </w:r>
      <w:r w:rsidR="00186E26">
        <w:t xml:space="preserve">. It is a space where </w:t>
      </w:r>
      <w:r w:rsidR="00C8528F">
        <w:t xml:space="preserve">newcomers </w:t>
      </w:r>
      <w:r w:rsidR="003A1D13">
        <w:t xml:space="preserve">and </w:t>
      </w:r>
      <w:r w:rsidR="00186E26">
        <w:t>established</w:t>
      </w:r>
      <w:r w:rsidR="00C8528F">
        <w:t xml:space="preserve"> </w:t>
      </w:r>
      <w:r w:rsidR="00186E26">
        <w:t>scholars and</w:t>
      </w:r>
      <w:r w:rsidR="00AA2A9D">
        <w:t xml:space="preserve"> practitioners</w:t>
      </w:r>
      <w:r w:rsidR="00186E26">
        <w:t xml:space="preserve"> can meet </w:t>
      </w:r>
      <w:r w:rsidR="00C8528F">
        <w:t>likeminded people</w:t>
      </w:r>
      <w:r w:rsidR="00AA2A9D">
        <w:t xml:space="preserve">, </w:t>
      </w:r>
      <w:r w:rsidR="00C8528F">
        <w:t xml:space="preserve">which is especially important for those who do not work at </w:t>
      </w:r>
      <w:r w:rsidR="00D902D6">
        <w:t>established hubs of transitions research</w:t>
      </w:r>
      <w:r w:rsidR="00AA2A9D">
        <w:t xml:space="preserve">. IST serves to exchange knowledge and </w:t>
      </w:r>
      <w:r w:rsidR="00D902D6">
        <w:t xml:space="preserve">generate new </w:t>
      </w:r>
      <w:r w:rsidR="00AA2A9D">
        <w:t>insights</w:t>
      </w:r>
      <w:r w:rsidR="00806A22">
        <w:t>;</w:t>
      </w:r>
      <w:r w:rsidR="00AA2A9D">
        <w:t xml:space="preserve"> </w:t>
      </w:r>
      <w:r w:rsidR="000F7549">
        <w:t xml:space="preserve">IST encourages contributions that push the frontiers of the field of sustainability transitions. </w:t>
      </w:r>
      <w:r w:rsidR="00806A22">
        <w:t>IST also generates visibility</w:t>
      </w:r>
      <w:r w:rsidR="00D641D0">
        <w:t>, both for the community and ideas of transition studies in the wider landscape of research and practice, and for the conference host(s) as vital pillars in the STR network.</w:t>
      </w:r>
    </w:p>
    <w:p w14:paraId="4733837F" w14:textId="77777777" w:rsidR="000E79C8" w:rsidRDefault="000E79C8" w:rsidP="00FD54ED">
      <w:pPr>
        <w:jc w:val="both"/>
      </w:pPr>
    </w:p>
    <w:p w14:paraId="028513EF" w14:textId="0A74ABAA" w:rsidR="00405158" w:rsidRDefault="00AA2A9D" w:rsidP="00FD54ED">
      <w:pPr>
        <w:jc w:val="both"/>
      </w:pPr>
      <w:r>
        <w:t xml:space="preserve">IST conferences are </w:t>
      </w:r>
      <w:r w:rsidR="00405158">
        <w:t xml:space="preserve">generally </w:t>
      </w:r>
      <w:r>
        <w:t xml:space="preserve">organized around core topics of sustainability transitions </w:t>
      </w:r>
      <w:r w:rsidR="00FF3842">
        <w:t xml:space="preserve">research </w:t>
      </w:r>
      <w:r w:rsidR="006E483D">
        <w:t xml:space="preserve">(please see the research agenda by </w:t>
      </w:r>
      <w:r w:rsidR="006E483D" w:rsidRPr="00B838C5">
        <w:t>Köhler et al. 2019</w:t>
      </w:r>
      <w:r w:rsidR="006E483D">
        <w:t xml:space="preserve"> for guidance) </w:t>
      </w:r>
      <w:r>
        <w:t xml:space="preserve">plus a ‘conference </w:t>
      </w:r>
      <w:r w:rsidR="009727A6">
        <w:t xml:space="preserve">theme </w:t>
      </w:r>
      <w:r>
        <w:t>that focuses on the main topic c</w:t>
      </w:r>
      <w:r w:rsidR="00FD014D">
        <w:t>hosen by that year’s organizers. T</w:t>
      </w:r>
      <w:r>
        <w:t xml:space="preserve">he main </w:t>
      </w:r>
      <w:r w:rsidR="009727A6">
        <w:t xml:space="preserve">theme </w:t>
      </w:r>
      <w:r>
        <w:t xml:space="preserve">should function as an ‘umbrella’ and engage with current issues in sustainability transitions research and practice. </w:t>
      </w:r>
    </w:p>
    <w:p w14:paraId="2ECE30C4" w14:textId="225441B3" w:rsidR="000E79C8" w:rsidRDefault="000E79C8" w:rsidP="00FD54ED">
      <w:pPr>
        <w:jc w:val="both"/>
      </w:pPr>
    </w:p>
    <w:p w14:paraId="46F28554" w14:textId="0E190FD6" w:rsidR="00A21CD8" w:rsidRPr="00A21CD8" w:rsidRDefault="00FD014D" w:rsidP="001F38A8">
      <w:pPr>
        <w:jc w:val="both"/>
      </w:pPr>
      <w:r>
        <w:t>Institutions that host IST are</w:t>
      </w:r>
      <w:r w:rsidR="00405158">
        <w:t xml:space="preserve"> expected to be</w:t>
      </w:r>
      <w:r>
        <w:t xml:space="preserve"> </w:t>
      </w:r>
      <w:r w:rsidR="00405158">
        <w:t xml:space="preserve">actively engaged </w:t>
      </w:r>
      <w:r w:rsidR="001A32C9">
        <w:t xml:space="preserve">and deeply embedded </w:t>
      </w:r>
      <w:r w:rsidR="00F63E44">
        <w:t xml:space="preserve">in </w:t>
      </w:r>
      <w:r w:rsidR="00F63E44" w:rsidRPr="00F63E44">
        <w:t>sustainability transitions research</w:t>
      </w:r>
      <w:r w:rsidR="001A32C9">
        <w:t xml:space="preserve"> and the community</w:t>
      </w:r>
      <w:r w:rsidR="00634F7C">
        <w:t>.</w:t>
      </w:r>
      <w:r w:rsidR="001A32C9">
        <w:t xml:space="preserve"> </w:t>
      </w:r>
    </w:p>
    <w:p w14:paraId="65E84C5D" w14:textId="77777777" w:rsidR="00A21CD8" w:rsidRDefault="00A21CD8" w:rsidP="005A0BBF">
      <w:pPr>
        <w:jc w:val="both"/>
      </w:pPr>
    </w:p>
    <w:p w14:paraId="53FED123" w14:textId="6D34AFB9" w:rsidR="00965C21" w:rsidRDefault="00B53996" w:rsidP="005A0BBF">
      <w:pPr>
        <w:jc w:val="both"/>
      </w:pPr>
      <w:r>
        <w:t>Organizing IST can be quite challenging</w:t>
      </w:r>
      <w:r w:rsidR="00287B72">
        <w:t xml:space="preserve"> because of its size </w:t>
      </w:r>
      <w:r w:rsidR="00466E66">
        <w:t xml:space="preserve">(ca. 500 participants) </w:t>
      </w:r>
      <w:r w:rsidR="00287B72">
        <w:t>and ambition</w:t>
      </w:r>
      <w:r>
        <w:t xml:space="preserve">, especially for smaller institutions, which is why </w:t>
      </w:r>
      <w:proofErr w:type="gramStart"/>
      <w:r w:rsidR="00634F7C">
        <w:t>experience</w:t>
      </w:r>
      <w:proofErr w:type="gramEnd"/>
      <w:r w:rsidR="00634F7C">
        <w:t xml:space="preserve"> </w:t>
      </w:r>
      <w:r>
        <w:t>in conference organization (and the associated resources</w:t>
      </w:r>
      <w:r w:rsidR="00965C21">
        <w:t>:</w:t>
      </w:r>
      <w:r>
        <w:t xml:space="preserve"> </w:t>
      </w:r>
      <w:r w:rsidR="00965C21">
        <w:t xml:space="preserve">personnel, space, online tools etc.) as well as profound knowledge of </w:t>
      </w:r>
      <w:r w:rsidR="00634F7C">
        <w:t xml:space="preserve">transition studies </w:t>
      </w:r>
      <w:r w:rsidR="00F63E44">
        <w:t xml:space="preserve">and </w:t>
      </w:r>
      <w:r w:rsidR="00965C21">
        <w:t xml:space="preserve">strong ties within </w:t>
      </w:r>
      <w:r w:rsidR="00F63E44" w:rsidRPr="00F63E44">
        <w:t>STRN</w:t>
      </w:r>
      <w:r w:rsidR="00965C21">
        <w:t xml:space="preserve"> are essential</w:t>
      </w:r>
      <w:r w:rsidR="00F63E44" w:rsidRPr="00F63E44">
        <w:t xml:space="preserve">. </w:t>
      </w:r>
      <w:r w:rsidR="007337D0">
        <w:t xml:space="preserve">STRN will support conference </w:t>
      </w:r>
      <w:r w:rsidR="007337D0">
        <w:lastRenderedPageBreak/>
        <w:t xml:space="preserve">organizers with its prior experience, </w:t>
      </w:r>
      <w:r w:rsidR="0010367F">
        <w:t>guidance</w:t>
      </w:r>
      <w:r w:rsidR="0001185A">
        <w:t xml:space="preserve"> and</w:t>
      </w:r>
      <w:r w:rsidR="0010367F">
        <w:t xml:space="preserve"> </w:t>
      </w:r>
      <w:r w:rsidR="007337D0">
        <w:t xml:space="preserve">some </w:t>
      </w:r>
      <w:r w:rsidR="0001185A">
        <w:t>administrative</w:t>
      </w:r>
      <w:r w:rsidR="007337D0">
        <w:t xml:space="preserve"> </w:t>
      </w:r>
      <w:r w:rsidR="00B67BD9">
        <w:t>support</w:t>
      </w:r>
      <w:r w:rsidR="007337D0">
        <w:t xml:space="preserve">. </w:t>
      </w:r>
      <w:r w:rsidR="006E3FB3">
        <w:t xml:space="preserve">The chair of the organizing committee is </w:t>
      </w:r>
      <w:r w:rsidR="0001185A">
        <w:t>expected</w:t>
      </w:r>
      <w:r w:rsidR="006E3FB3">
        <w:t xml:space="preserve"> to join the STRN steering group for the year up to and year following the conference. They are expected to </w:t>
      </w:r>
      <w:r w:rsidR="00182855">
        <w:t>participate regularly in the steering group meetings (</w:t>
      </w:r>
      <w:r w:rsidR="00FD5083">
        <w:t>5</w:t>
      </w:r>
      <w:r w:rsidR="00182855">
        <w:t>x per year), p</w:t>
      </w:r>
      <w:r w:rsidR="00B46CAD">
        <w:t>rovide</w:t>
      </w:r>
      <w:r w:rsidR="00182855">
        <w:t xml:space="preserve"> updates on IST organization</w:t>
      </w:r>
      <w:r w:rsidR="00B46CAD">
        <w:t>, and liaise with the steering group concerning key questions of IST organization (e.g.</w:t>
      </w:r>
      <w:r w:rsidR="00FD5083">
        <w:t>,</w:t>
      </w:r>
      <w:r w:rsidR="00B46CAD">
        <w:t xml:space="preserve"> </w:t>
      </w:r>
      <w:r w:rsidR="00A93960">
        <w:t xml:space="preserve">keynote speakers). </w:t>
      </w:r>
    </w:p>
    <w:p w14:paraId="4EABD9FF" w14:textId="77777777" w:rsidR="00376AE3" w:rsidRDefault="00376AE3" w:rsidP="005A0BBF">
      <w:pPr>
        <w:jc w:val="both"/>
      </w:pPr>
    </w:p>
    <w:p w14:paraId="2BE41A4E" w14:textId="2E64B871" w:rsidR="00376AE3" w:rsidRDefault="00376AE3" w:rsidP="005A0BBF">
      <w:pPr>
        <w:jc w:val="both"/>
      </w:pPr>
      <w:r>
        <w:t>The full Guidelines to Hosting IST will be provided to the selected host.</w:t>
      </w:r>
    </w:p>
    <w:p w14:paraId="6EA91E83" w14:textId="77777777" w:rsidR="00376AE3" w:rsidRDefault="00376AE3" w:rsidP="005A0BBF">
      <w:pPr>
        <w:jc w:val="both"/>
      </w:pPr>
    </w:p>
    <w:p w14:paraId="700D297C" w14:textId="77777777" w:rsidR="003E1E4C" w:rsidRDefault="003E1E4C"/>
    <w:p w14:paraId="244F9D64" w14:textId="60D8E72E" w:rsidR="003E1E4C" w:rsidRPr="005A0BBF" w:rsidRDefault="00A82999">
      <w:pPr>
        <w:rPr>
          <w:b/>
          <w:bCs/>
        </w:rPr>
      </w:pPr>
      <w:r>
        <w:rPr>
          <w:b/>
          <w:bCs/>
        </w:rPr>
        <w:t>The f</w:t>
      </w:r>
      <w:r w:rsidR="003E1E4C" w:rsidRPr="005A0BBF">
        <w:rPr>
          <w:b/>
          <w:bCs/>
        </w:rPr>
        <w:t>ollowing criteria are used</w:t>
      </w:r>
      <w:r w:rsidR="001638EE" w:rsidRPr="005A0BBF">
        <w:rPr>
          <w:b/>
          <w:bCs/>
        </w:rPr>
        <w:t xml:space="preserve"> by STRN</w:t>
      </w:r>
      <w:r w:rsidR="003E1E4C" w:rsidRPr="005A0BBF">
        <w:rPr>
          <w:b/>
          <w:bCs/>
        </w:rPr>
        <w:t xml:space="preserve"> to </w:t>
      </w:r>
      <w:r w:rsidR="001638EE" w:rsidRPr="005A0BBF">
        <w:rPr>
          <w:b/>
          <w:bCs/>
        </w:rPr>
        <w:t>choose IST hosts:</w:t>
      </w:r>
    </w:p>
    <w:p w14:paraId="18089F81" w14:textId="77777777" w:rsidR="00965C21" w:rsidRDefault="00965C21"/>
    <w:p w14:paraId="39B70634" w14:textId="7C29BCA7" w:rsidR="002F5F5C" w:rsidRDefault="002F5F5C" w:rsidP="00C17DCC">
      <w:pPr>
        <w:pStyle w:val="ListParagraph"/>
        <w:numPr>
          <w:ilvl w:val="0"/>
          <w:numId w:val="7"/>
        </w:numPr>
        <w:spacing w:before="120" w:after="120" w:line="360" w:lineRule="auto"/>
        <w:ind w:left="714" w:hanging="357"/>
      </w:pPr>
      <w:r w:rsidRPr="005A0BBF">
        <w:rPr>
          <w:b/>
          <w:bCs/>
        </w:rPr>
        <w:t>Embeddedness in transitions research:</w:t>
      </w:r>
      <w:r>
        <w:t xml:space="preserve"> The h</w:t>
      </w:r>
      <w:r w:rsidRPr="002F5F5C">
        <w:t>ost</w:t>
      </w:r>
      <w:r>
        <w:t xml:space="preserve"> institution</w:t>
      </w:r>
      <w:r w:rsidRPr="002F5F5C">
        <w:t>'s links to transition research and the STRN community</w:t>
      </w:r>
    </w:p>
    <w:p w14:paraId="3AA54E6A" w14:textId="683756EA" w:rsidR="002F5F5C" w:rsidRDefault="002F5F5C" w:rsidP="00C17DCC">
      <w:pPr>
        <w:pStyle w:val="ListParagraph"/>
        <w:numPr>
          <w:ilvl w:val="0"/>
          <w:numId w:val="7"/>
        </w:numPr>
        <w:spacing w:before="120" w:after="120" w:line="360" w:lineRule="auto"/>
        <w:ind w:left="714" w:hanging="357"/>
      </w:pPr>
      <w:r w:rsidRPr="005A0BBF">
        <w:rPr>
          <w:b/>
          <w:bCs/>
        </w:rPr>
        <w:t>Feasibility:</w:t>
      </w:r>
      <w:r w:rsidRPr="002F5F5C">
        <w:t xml:space="preserve"> Resources of the host institute (personnel to organize the conference; space</w:t>
      </w:r>
      <w:r w:rsidR="00F860FB">
        <w:t xml:space="preserve"> (physical and/or virtual)</w:t>
      </w:r>
      <w:r w:rsidRPr="002F5F5C">
        <w:t xml:space="preserve"> </w:t>
      </w:r>
      <w:r w:rsidR="00F860FB">
        <w:t>in which to hold the conference</w:t>
      </w:r>
      <w:r w:rsidRPr="002F5F5C">
        <w:t>)</w:t>
      </w:r>
    </w:p>
    <w:p w14:paraId="01BF6BA6" w14:textId="73B176ED" w:rsidR="00711E48" w:rsidRDefault="002F5F5C" w:rsidP="00C17DCC">
      <w:pPr>
        <w:pStyle w:val="ListParagraph"/>
        <w:numPr>
          <w:ilvl w:val="0"/>
          <w:numId w:val="7"/>
        </w:numPr>
        <w:spacing w:before="120" w:after="120" w:line="360" w:lineRule="auto"/>
        <w:ind w:left="714" w:hanging="357"/>
      </w:pPr>
      <w:r w:rsidRPr="005A0BBF">
        <w:rPr>
          <w:b/>
          <w:bCs/>
        </w:rPr>
        <w:t>Diversity:</w:t>
      </w:r>
      <w:r>
        <w:t xml:space="preserve"> </w:t>
      </w:r>
      <w:r w:rsidR="00711E48">
        <w:t>We seek variation and diversity among</w:t>
      </w:r>
      <w:r w:rsidR="001F38A8">
        <w:t>st</w:t>
      </w:r>
      <w:r w:rsidR="00711E48">
        <w:t xml:space="preserve"> hosts, i.e.</w:t>
      </w:r>
      <w:r w:rsidR="001F38A8">
        <w:t>,</w:t>
      </w:r>
      <w:r w:rsidR="00711E48">
        <w:t xml:space="preserve"> not always the usual suspects, countries, places.</w:t>
      </w:r>
      <w:r w:rsidR="00A21CD8">
        <w:t xml:space="preserve"> Places inside and outside of Europe are given equal consideration</w:t>
      </w:r>
    </w:p>
    <w:p w14:paraId="1F157AE8" w14:textId="383745B8" w:rsidR="00A21CD8" w:rsidRDefault="00A21CD8" w:rsidP="00C17DCC">
      <w:pPr>
        <w:pStyle w:val="ListParagraph"/>
        <w:numPr>
          <w:ilvl w:val="0"/>
          <w:numId w:val="7"/>
        </w:numPr>
        <w:spacing w:before="120" w:after="120" w:line="360" w:lineRule="auto"/>
        <w:ind w:left="714" w:hanging="357"/>
      </w:pPr>
      <w:r w:rsidRPr="005A0BBF">
        <w:rPr>
          <w:b/>
          <w:bCs/>
        </w:rPr>
        <w:t>Content</w:t>
      </w:r>
      <w:r w:rsidR="00E84634" w:rsidRPr="005A0BBF">
        <w:rPr>
          <w:b/>
          <w:bCs/>
        </w:rPr>
        <w:t>:</w:t>
      </w:r>
      <w:r w:rsidR="00E84634">
        <w:t xml:space="preserve"> main theme of the conference</w:t>
      </w:r>
      <w:r w:rsidR="00A82999">
        <w:t xml:space="preserve"> and</w:t>
      </w:r>
      <w:r w:rsidR="00E84634">
        <w:t xml:space="preserve"> practitioner engagement? </w:t>
      </w:r>
      <w:r w:rsidRPr="00A21CD8">
        <w:t xml:space="preserve"> </w:t>
      </w:r>
    </w:p>
    <w:p w14:paraId="1E7B8E78" w14:textId="77777777" w:rsidR="00A76EBA" w:rsidRDefault="00A76EBA" w:rsidP="00C17DCC">
      <w:pPr>
        <w:spacing w:before="120" w:after="120" w:line="360" w:lineRule="auto"/>
      </w:pPr>
    </w:p>
    <w:p w14:paraId="04EAC628" w14:textId="77777777" w:rsidR="001F38A8" w:rsidRDefault="001F38A8" w:rsidP="00C17DCC">
      <w:pPr>
        <w:pStyle w:val="BodyText"/>
        <w:spacing w:before="120" w:after="120" w:line="360" w:lineRule="auto"/>
        <w:ind w:left="12" w:right="4"/>
        <w:jc w:val="both"/>
        <w:rPr>
          <w:b/>
          <w:bCs/>
        </w:rPr>
      </w:pPr>
      <w:r>
        <w:rPr>
          <w:b/>
          <w:bCs/>
        </w:rPr>
        <w:t>Key considerations:</w:t>
      </w:r>
    </w:p>
    <w:p w14:paraId="3DC09571" w14:textId="77777777" w:rsidR="001F38A8" w:rsidRDefault="001F38A8" w:rsidP="00C17DCC">
      <w:pPr>
        <w:pStyle w:val="BodyText"/>
        <w:numPr>
          <w:ilvl w:val="0"/>
          <w:numId w:val="9"/>
        </w:numPr>
        <w:spacing w:before="120" w:after="120" w:line="360" w:lineRule="auto"/>
        <w:ind w:right="4"/>
        <w:jc w:val="both"/>
      </w:pPr>
      <w:r w:rsidRPr="00C13373">
        <w:rPr>
          <w:b/>
          <w:bCs/>
        </w:rPr>
        <w:t>Length</w:t>
      </w:r>
      <w:r w:rsidRPr="00FE3C5E">
        <w:rPr>
          <w:b/>
          <w:bCs/>
        </w:rPr>
        <w:t>:</w:t>
      </w:r>
      <w:r w:rsidRPr="00C13373">
        <w:t xml:space="preserve"> three full conference days, plus </w:t>
      </w:r>
      <w:r>
        <w:t xml:space="preserve">pre-conference </w:t>
      </w:r>
      <w:r w:rsidRPr="00C13373">
        <w:t>early career welcome day and post-IST activities</w:t>
      </w:r>
      <w:r>
        <w:t xml:space="preserve"> (organized by STRN)</w:t>
      </w:r>
    </w:p>
    <w:p w14:paraId="730676B7" w14:textId="7E48E533" w:rsidR="004D13BD" w:rsidRPr="00C13373" w:rsidRDefault="004D13BD" w:rsidP="00C17DCC">
      <w:pPr>
        <w:pStyle w:val="BodyText"/>
        <w:numPr>
          <w:ilvl w:val="0"/>
          <w:numId w:val="9"/>
        </w:numPr>
        <w:spacing w:before="120" w:after="120" w:line="360" w:lineRule="auto"/>
        <w:ind w:right="4"/>
        <w:jc w:val="both"/>
      </w:pPr>
      <w:r>
        <w:rPr>
          <w:b/>
          <w:bCs/>
        </w:rPr>
        <w:t>Capacity:</w:t>
      </w:r>
      <w:r>
        <w:t xml:space="preserve"> about 500 participants</w:t>
      </w:r>
    </w:p>
    <w:p w14:paraId="2031F0A3" w14:textId="77777777" w:rsidR="001F38A8" w:rsidRDefault="001F38A8" w:rsidP="00C17DCC">
      <w:pPr>
        <w:pStyle w:val="BodyText"/>
        <w:numPr>
          <w:ilvl w:val="0"/>
          <w:numId w:val="9"/>
        </w:numPr>
        <w:spacing w:before="120" w:after="120" w:line="360" w:lineRule="auto"/>
        <w:ind w:right="4"/>
        <w:jc w:val="both"/>
      </w:pPr>
      <w:r w:rsidRPr="00FE3C5E">
        <w:rPr>
          <w:b/>
          <w:bCs/>
        </w:rPr>
        <w:t>Mode of delivery:</w:t>
      </w:r>
      <w:r w:rsidRPr="00C13373">
        <w:t xml:space="preserve"> in-person </w:t>
      </w:r>
      <w:r w:rsidRPr="008C1AA6">
        <w:t>(some hybrid functionality possible)</w:t>
      </w:r>
    </w:p>
    <w:p w14:paraId="36E955DD" w14:textId="77777777" w:rsidR="001F38A8" w:rsidRDefault="001F38A8" w:rsidP="00C17DCC">
      <w:pPr>
        <w:pStyle w:val="BodyText"/>
        <w:numPr>
          <w:ilvl w:val="0"/>
          <w:numId w:val="9"/>
        </w:numPr>
        <w:spacing w:before="120" w:after="120" w:line="360" w:lineRule="auto"/>
        <w:ind w:right="4"/>
        <w:jc w:val="both"/>
      </w:pPr>
      <w:r>
        <w:rPr>
          <w:b/>
          <w:bCs/>
        </w:rPr>
        <w:t>Format:</w:t>
      </w:r>
      <w:r>
        <w:t xml:space="preserve"> the conference should offer a mix of traditional conference talks, keynotes, plenaries, workshops, and dialogue sessions and potentially other activities (such as excursions)</w:t>
      </w:r>
    </w:p>
    <w:p w14:paraId="308FBF0D" w14:textId="3A6BB8AA" w:rsidR="001F38A8" w:rsidRPr="00C13373" w:rsidRDefault="00B05C2A" w:rsidP="00C17DCC">
      <w:pPr>
        <w:pStyle w:val="BodyText"/>
        <w:numPr>
          <w:ilvl w:val="0"/>
          <w:numId w:val="9"/>
        </w:numPr>
        <w:spacing w:before="120" w:after="120" w:line="360" w:lineRule="auto"/>
        <w:ind w:right="4"/>
        <w:jc w:val="both"/>
      </w:pPr>
      <w:r>
        <w:rPr>
          <w:b/>
          <w:bCs/>
        </w:rPr>
        <w:t>Timing:</w:t>
      </w:r>
      <w:r>
        <w:t xml:space="preserve"> the conference is traditionally hosted in late June/early July or late August/early September. The exact timing should be discussed with the STRN Steering Group</w:t>
      </w:r>
      <w:r w:rsidRPr="00B556E3">
        <w:rPr>
          <w:b/>
          <w:bCs/>
        </w:rPr>
        <w:t xml:space="preserve"> </w:t>
      </w:r>
      <w:r w:rsidR="001F38A8" w:rsidRPr="00FE3C5E">
        <w:rPr>
          <w:b/>
          <w:bCs/>
        </w:rPr>
        <w:lastRenderedPageBreak/>
        <w:t>Funding:</w:t>
      </w:r>
      <w:r w:rsidR="001F38A8" w:rsidRPr="00C13373">
        <w:t xml:space="preserve"> the conference is expected to be revenue neutral, with all costs covered by participant fees</w:t>
      </w:r>
    </w:p>
    <w:p w14:paraId="5D35E317" w14:textId="551B964B" w:rsidR="00D21D75" w:rsidRPr="00C13373" w:rsidRDefault="00F109E0" w:rsidP="001F38A8">
      <w:pPr>
        <w:pStyle w:val="BodyText"/>
        <w:numPr>
          <w:ilvl w:val="0"/>
          <w:numId w:val="9"/>
        </w:numPr>
        <w:spacing w:before="186" w:line="312" w:lineRule="auto"/>
        <w:ind w:right="4"/>
        <w:jc w:val="both"/>
      </w:pPr>
      <w:r>
        <w:rPr>
          <w:b/>
          <w:bCs/>
        </w:rPr>
        <w:t xml:space="preserve">Organization &amp; </w:t>
      </w:r>
      <w:r w:rsidR="007E73B9">
        <w:rPr>
          <w:b/>
          <w:bCs/>
        </w:rPr>
        <w:t>s</w:t>
      </w:r>
      <w:r w:rsidR="00D21D75">
        <w:rPr>
          <w:b/>
          <w:bCs/>
        </w:rPr>
        <w:t>upport:</w:t>
      </w:r>
      <w:r w:rsidR="00D21D75" w:rsidRPr="005A0BBF">
        <w:t xml:space="preserve"> </w:t>
      </w:r>
      <w:r w:rsidR="00577553" w:rsidRPr="005A0BBF">
        <w:t xml:space="preserve">The </w:t>
      </w:r>
      <w:r w:rsidR="00D46FCD" w:rsidRPr="005A0BBF">
        <w:t xml:space="preserve">host is responsible for organizing the conference. </w:t>
      </w:r>
      <w:r w:rsidR="00D21D75" w:rsidRPr="005A0BBF">
        <w:t xml:space="preserve">The STRN </w:t>
      </w:r>
      <w:r w:rsidR="007E73B9">
        <w:t>Secretariat</w:t>
      </w:r>
      <w:r w:rsidR="00D21D75" w:rsidRPr="005A0BBF">
        <w:t xml:space="preserve">, </w:t>
      </w:r>
      <w:r w:rsidR="007E73B9">
        <w:t>S</w:t>
      </w:r>
      <w:r w:rsidR="00D21D75" w:rsidRPr="005A0BBF">
        <w:t xml:space="preserve">teering </w:t>
      </w:r>
      <w:r w:rsidR="007E73B9">
        <w:t>G</w:t>
      </w:r>
      <w:r w:rsidR="00D21D75" w:rsidRPr="005A0BBF">
        <w:t xml:space="preserve">roup and </w:t>
      </w:r>
      <w:r w:rsidR="007E73B9">
        <w:t>B</w:t>
      </w:r>
      <w:r w:rsidR="00D21D75" w:rsidRPr="005A0BBF">
        <w:t>oard provide advice</w:t>
      </w:r>
      <w:r w:rsidR="004A0F93" w:rsidRPr="005A0BBF">
        <w:t xml:space="preserve">, </w:t>
      </w:r>
      <w:r w:rsidR="00D21D75" w:rsidRPr="005A0BBF">
        <w:t>guidance</w:t>
      </w:r>
      <w:r w:rsidR="004A0F93" w:rsidRPr="005A0BBF">
        <w:t>, input, common practices, etc.</w:t>
      </w:r>
      <w:r w:rsidR="00B33923" w:rsidRPr="005A0BBF">
        <w:t xml:space="preserve"> </w:t>
      </w:r>
    </w:p>
    <w:p w14:paraId="60572D74" w14:textId="77777777" w:rsidR="001F38A8" w:rsidRDefault="001F38A8"/>
    <w:p w14:paraId="585326EB" w14:textId="77777777" w:rsidR="001F38A8" w:rsidRDefault="001F38A8"/>
    <w:p w14:paraId="4AD710D8" w14:textId="77777777" w:rsidR="001F38A8" w:rsidRDefault="001F38A8"/>
    <w:p w14:paraId="72AB66CA" w14:textId="77777777" w:rsidR="001638EE" w:rsidRDefault="001638EE"/>
    <w:p w14:paraId="04A25A07" w14:textId="05CA2A72" w:rsidR="000E79C8" w:rsidRDefault="003855C2">
      <w:pPr>
        <w:rPr>
          <w:b/>
        </w:rPr>
      </w:pPr>
      <w:r>
        <w:rPr>
          <w:b/>
        </w:rPr>
        <w:t xml:space="preserve">Application </w:t>
      </w:r>
      <w:r w:rsidR="00575E28">
        <w:rPr>
          <w:b/>
        </w:rPr>
        <w:t>to host IST</w:t>
      </w:r>
      <w:r>
        <w:rPr>
          <w:b/>
        </w:rPr>
        <w:t>: Required i</w:t>
      </w:r>
      <w:r w:rsidR="00AA2A9D">
        <w:rPr>
          <w:b/>
        </w:rPr>
        <w:t>nformation</w:t>
      </w:r>
    </w:p>
    <w:p w14:paraId="63648054" w14:textId="77777777" w:rsidR="000E79C8" w:rsidRDefault="000E79C8"/>
    <w:p w14:paraId="219C02CA" w14:textId="77777777" w:rsidR="000E79C8" w:rsidRPr="007B09A4" w:rsidRDefault="00AA2A9D">
      <w:pPr>
        <w:rPr>
          <w:b/>
          <w:bCs/>
        </w:rPr>
      </w:pPr>
      <w:r w:rsidRPr="007B09A4">
        <w:rPr>
          <w:b/>
          <w:bCs/>
        </w:rPr>
        <w:t>Please enter the following information in your written application:</w:t>
      </w:r>
    </w:p>
    <w:p w14:paraId="2EE20B45" w14:textId="6FDE583F" w:rsidR="00042704" w:rsidRDefault="005321E6" w:rsidP="00042704">
      <w:pPr>
        <w:numPr>
          <w:ilvl w:val="0"/>
          <w:numId w:val="1"/>
        </w:numPr>
      </w:pPr>
      <w:r>
        <w:t>I</w:t>
      </w:r>
      <w:r w:rsidR="00AA2A9D">
        <w:t xml:space="preserve">nformation of institute: </w:t>
      </w:r>
    </w:p>
    <w:p w14:paraId="6BEAFCCB" w14:textId="2D9DC177" w:rsidR="00C108BF" w:rsidRDefault="00042704" w:rsidP="00C108BF">
      <w:pPr>
        <w:numPr>
          <w:ilvl w:val="1"/>
          <w:numId w:val="1"/>
        </w:numPr>
      </w:pPr>
      <w:r>
        <w:t>N</w:t>
      </w:r>
      <w:r w:rsidR="00AA2A9D">
        <w:t>ame</w:t>
      </w:r>
      <w:r w:rsidR="00C108BF">
        <w:t xml:space="preserve"> of institute</w:t>
      </w:r>
      <w:r w:rsidR="00EA09B3">
        <w:t>(s)</w:t>
      </w:r>
    </w:p>
    <w:p w14:paraId="184E1AF1" w14:textId="68918B3E" w:rsidR="004D1726" w:rsidRDefault="00C108BF" w:rsidP="004D1726">
      <w:pPr>
        <w:numPr>
          <w:ilvl w:val="1"/>
          <w:numId w:val="1"/>
        </w:numPr>
      </w:pPr>
      <w:r>
        <w:t>Location</w:t>
      </w:r>
    </w:p>
    <w:p w14:paraId="52658886" w14:textId="7594D63F" w:rsidR="004D1726" w:rsidRDefault="004D1726" w:rsidP="004D1726">
      <w:pPr>
        <w:numPr>
          <w:ilvl w:val="1"/>
          <w:numId w:val="1"/>
        </w:numPr>
      </w:pPr>
      <w:r>
        <w:t>N</w:t>
      </w:r>
      <w:r w:rsidRPr="005A0BBF">
        <w:rPr>
          <w:spacing w:val="-4"/>
        </w:rPr>
        <w:t>ame of main conference organizer</w:t>
      </w:r>
      <w:r w:rsidR="004037BC">
        <w:rPr>
          <w:spacing w:val="-4"/>
        </w:rPr>
        <w:t>(s)</w:t>
      </w:r>
      <w:r w:rsidRPr="005A0BBF">
        <w:rPr>
          <w:spacing w:val="-4"/>
        </w:rPr>
        <w:t xml:space="preserve"> and contact person</w:t>
      </w:r>
    </w:p>
    <w:p w14:paraId="388B8822" w14:textId="726C9243" w:rsidR="00A500B5" w:rsidRDefault="004D1726" w:rsidP="004D1726">
      <w:pPr>
        <w:numPr>
          <w:ilvl w:val="1"/>
          <w:numId w:val="1"/>
        </w:numPr>
      </w:pPr>
      <w:r w:rsidRPr="004D1726">
        <w:rPr>
          <w:spacing w:val="-4"/>
        </w:rPr>
        <w:t xml:space="preserve">Names of additional </w:t>
      </w:r>
      <w:r>
        <w:t>organizing team members</w:t>
      </w:r>
    </w:p>
    <w:p w14:paraId="759AB5A7" w14:textId="4FCC69CD" w:rsidR="00042704" w:rsidRDefault="00042704" w:rsidP="00042704">
      <w:pPr>
        <w:numPr>
          <w:ilvl w:val="1"/>
          <w:numId w:val="1"/>
        </w:numPr>
      </w:pPr>
      <w:r>
        <w:t>Link</w:t>
      </w:r>
      <w:r w:rsidR="005321E6">
        <w:t>s</w:t>
      </w:r>
      <w:r>
        <w:t xml:space="preserve"> to </w:t>
      </w:r>
      <w:r w:rsidR="00405158">
        <w:t>transition</w:t>
      </w:r>
      <w:r w:rsidR="005321E6" w:rsidRPr="005321E6">
        <w:t xml:space="preserve"> research </w:t>
      </w:r>
      <w:r w:rsidR="005321E6">
        <w:t>&amp; practice, and to STRN community</w:t>
      </w:r>
    </w:p>
    <w:p w14:paraId="7003CF49" w14:textId="58254D5A" w:rsidR="00E84634" w:rsidRDefault="00E84634" w:rsidP="00E84634">
      <w:pPr>
        <w:numPr>
          <w:ilvl w:val="1"/>
          <w:numId w:val="1"/>
        </w:numPr>
      </w:pPr>
      <w:r w:rsidRPr="00E84634">
        <w:t>Please argue why STRN should choose your institution as an IST host: what are the benefits for the STR community</w:t>
      </w:r>
    </w:p>
    <w:p w14:paraId="05547C4A" w14:textId="77777777" w:rsidR="003855C2" w:rsidRDefault="003855C2" w:rsidP="003855C2">
      <w:pPr>
        <w:ind w:left="1080"/>
      </w:pPr>
    </w:p>
    <w:p w14:paraId="64FA8A26" w14:textId="5BE51DF6" w:rsidR="00E84634" w:rsidRPr="007B09A4" w:rsidRDefault="00E84634" w:rsidP="00E84634">
      <w:pPr>
        <w:numPr>
          <w:ilvl w:val="0"/>
          <w:numId w:val="1"/>
        </w:numPr>
        <w:rPr>
          <w:b/>
          <w:bCs/>
        </w:rPr>
      </w:pPr>
      <w:r w:rsidRPr="007B09A4">
        <w:rPr>
          <w:b/>
          <w:bCs/>
        </w:rPr>
        <w:t xml:space="preserve">Operational information on the planned conference: </w:t>
      </w:r>
    </w:p>
    <w:p w14:paraId="7A92B13D" w14:textId="7FBB3F74" w:rsidR="00E84634" w:rsidRPr="00E84634" w:rsidRDefault="00023A2E" w:rsidP="00E84634">
      <w:pPr>
        <w:numPr>
          <w:ilvl w:val="1"/>
          <w:numId w:val="1"/>
        </w:numPr>
      </w:pPr>
      <w:r>
        <w:t>Conference dates</w:t>
      </w:r>
    </w:p>
    <w:p w14:paraId="488F6872" w14:textId="6E79A6F6" w:rsidR="00A664E0" w:rsidRDefault="0058755A" w:rsidP="00E84634">
      <w:pPr>
        <w:numPr>
          <w:ilvl w:val="2"/>
          <w:numId w:val="1"/>
        </w:numPr>
      </w:pPr>
      <w:r>
        <w:t xml:space="preserve">Indicate when the conference will be held. A few options can be proposed and </w:t>
      </w:r>
      <w:r w:rsidR="00A664E0">
        <w:t>a date range can be offered, to be discussed in coordinat</w:t>
      </w:r>
      <w:r w:rsidR="00BE6BDF">
        <w:t>ion</w:t>
      </w:r>
      <w:r w:rsidR="00A664E0">
        <w:t xml:space="preserve"> with the STRN Board and Steering Group. </w:t>
      </w:r>
    </w:p>
    <w:p w14:paraId="68A65E67" w14:textId="0B474785" w:rsidR="00E84634" w:rsidRPr="00E84634" w:rsidRDefault="00E84634" w:rsidP="00E84634">
      <w:pPr>
        <w:numPr>
          <w:ilvl w:val="2"/>
          <w:numId w:val="1"/>
        </w:numPr>
      </w:pPr>
      <w:r w:rsidRPr="00E84634">
        <w:t>Please see below for a list of conferences that are relevant to the IST community. IST should be planned to not overlap with any of the conferences on the list.</w:t>
      </w:r>
    </w:p>
    <w:p w14:paraId="51808F53" w14:textId="77777777" w:rsidR="00E84634" w:rsidRPr="00E84634" w:rsidRDefault="00E84634" w:rsidP="00E84634">
      <w:pPr>
        <w:numPr>
          <w:ilvl w:val="1"/>
          <w:numId w:val="1"/>
        </w:numPr>
      </w:pPr>
      <w:r w:rsidRPr="00E84634">
        <w:t xml:space="preserve">Length of conference </w:t>
      </w:r>
    </w:p>
    <w:p w14:paraId="0C2680B5" w14:textId="6B460A03" w:rsidR="001C0719" w:rsidRDefault="005C31A2" w:rsidP="00E84634">
      <w:pPr>
        <w:numPr>
          <w:ilvl w:val="2"/>
          <w:numId w:val="1"/>
        </w:numPr>
      </w:pPr>
      <w:r>
        <w:t>IST is traditionally a</w:t>
      </w:r>
      <w:r w:rsidR="00E84634" w:rsidRPr="00E84634">
        <w:t xml:space="preserve"> 3 day</w:t>
      </w:r>
      <w:r>
        <w:t>-conference</w:t>
      </w:r>
      <w:r w:rsidR="00E84634" w:rsidRPr="00E84634">
        <w:t xml:space="preserve"> </w:t>
      </w:r>
    </w:p>
    <w:p w14:paraId="595D797A" w14:textId="77777777" w:rsidR="001C0719" w:rsidRDefault="001C0719" w:rsidP="00E84634">
      <w:pPr>
        <w:numPr>
          <w:ilvl w:val="2"/>
          <w:numId w:val="1"/>
        </w:numPr>
      </w:pPr>
      <w:r>
        <w:t>A p</w:t>
      </w:r>
      <w:r w:rsidR="00E84634" w:rsidRPr="00E84634">
        <w:t xml:space="preserve">re-conference NEST session </w:t>
      </w:r>
      <w:r>
        <w:t>hosted the day before</w:t>
      </w:r>
    </w:p>
    <w:p w14:paraId="6A8E5050" w14:textId="0CE954D1" w:rsidR="007F0C2C" w:rsidRDefault="007F0C2C" w:rsidP="00E84634">
      <w:pPr>
        <w:numPr>
          <w:ilvl w:val="2"/>
          <w:numId w:val="1"/>
        </w:numPr>
      </w:pPr>
      <w:r>
        <w:t>Space for additional STRN events following the conference</w:t>
      </w:r>
    </w:p>
    <w:p w14:paraId="4C07514C" w14:textId="027FDF0D" w:rsidR="00E84634" w:rsidRPr="00E84634" w:rsidRDefault="001C0719" w:rsidP="00E84634">
      <w:pPr>
        <w:numPr>
          <w:ilvl w:val="2"/>
          <w:numId w:val="1"/>
        </w:numPr>
      </w:pPr>
      <w:r>
        <w:t>S</w:t>
      </w:r>
      <w:r w:rsidR="00E84634" w:rsidRPr="00E84634">
        <w:t>ocial events</w:t>
      </w:r>
      <w:r w:rsidR="007F0C2C">
        <w:t xml:space="preserve"> and activities</w:t>
      </w:r>
      <w:r w:rsidR="00E84634" w:rsidRPr="00E84634">
        <w:t xml:space="preserve"> in the evenings</w:t>
      </w:r>
    </w:p>
    <w:p w14:paraId="08AB8264" w14:textId="40C1030B" w:rsidR="009E6B74" w:rsidRDefault="005E1AA9" w:rsidP="009E6B74">
      <w:pPr>
        <w:numPr>
          <w:ilvl w:val="1"/>
          <w:numId w:val="1"/>
        </w:numPr>
      </w:pPr>
      <w:r>
        <w:t xml:space="preserve">Conference space </w:t>
      </w:r>
    </w:p>
    <w:p w14:paraId="251AC383" w14:textId="7C197288" w:rsidR="00E84634" w:rsidRDefault="009E6B74" w:rsidP="009E6B74">
      <w:pPr>
        <w:numPr>
          <w:ilvl w:val="2"/>
          <w:numId w:val="1"/>
        </w:numPr>
      </w:pPr>
      <w:r>
        <w:t>D</w:t>
      </w:r>
      <w:r w:rsidR="005E1AA9">
        <w:t xml:space="preserve">etail </w:t>
      </w:r>
      <w:r w:rsidR="00AF35E5">
        <w:t xml:space="preserve">the facilities available for the conference, including </w:t>
      </w:r>
      <w:r w:rsidR="00D96E75">
        <w:t>rooms for scientific sessions, plenary, and socializing (e.g.</w:t>
      </w:r>
      <w:r w:rsidR="00023A2E">
        <w:t>,</w:t>
      </w:r>
      <w:r w:rsidR="00D96E75">
        <w:t xml:space="preserve"> coffee breaks</w:t>
      </w:r>
      <w:r w:rsidR="004A5BE9">
        <w:t>, lunch</w:t>
      </w:r>
      <w:r w:rsidR="00D96E75">
        <w:t xml:space="preserve">). </w:t>
      </w:r>
      <w:r w:rsidR="00253294">
        <w:t xml:space="preserve">Please specify if </w:t>
      </w:r>
      <w:r w:rsidR="00B25830">
        <w:t xml:space="preserve">hybrid </w:t>
      </w:r>
      <w:r w:rsidR="00A500B5">
        <w:t>capabilities</w:t>
      </w:r>
      <w:r w:rsidR="00B25830">
        <w:t xml:space="preserve"> are available in the rooms. </w:t>
      </w:r>
    </w:p>
    <w:p w14:paraId="2F08F14A" w14:textId="4C4F6A74" w:rsidR="009E6B74" w:rsidRDefault="00454743" w:rsidP="009E6B74">
      <w:pPr>
        <w:numPr>
          <w:ilvl w:val="2"/>
          <w:numId w:val="1"/>
        </w:numPr>
      </w:pPr>
      <w:r>
        <w:lastRenderedPageBreak/>
        <w:t xml:space="preserve">All spaces should be </w:t>
      </w:r>
      <w:proofErr w:type="gramStart"/>
      <w:r>
        <w:t>in close proximity to</w:t>
      </w:r>
      <w:proofErr w:type="gramEnd"/>
      <w:r>
        <w:t xml:space="preserve"> each other</w:t>
      </w:r>
    </w:p>
    <w:p w14:paraId="3B7BAE97" w14:textId="6964DB49" w:rsidR="004A246F" w:rsidRDefault="004A246F" w:rsidP="009E6B74">
      <w:pPr>
        <w:numPr>
          <w:ilvl w:val="2"/>
          <w:numId w:val="1"/>
        </w:numPr>
      </w:pPr>
      <w:r>
        <w:t xml:space="preserve">For general reference, at least one 500-person keynote/plenary room and at least </w:t>
      </w:r>
      <w:r w:rsidR="0052020B">
        <w:t>ten (10)</w:t>
      </w:r>
      <w:r>
        <w:t xml:space="preserve"> </w:t>
      </w:r>
      <w:r w:rsidR="0052020B">
        <w:t>30-50 person breakout rooms need to be available</w:t>
      </w:r>
    </w:p>
    <w:p w14:paraId="1A5139C8" w14:textId="7081DB25" w:rsidR="0052020B" w:rsidRPr="00E84634" w:rsidRDefault="0052020B" w:rsidP="009E6B74">
      <w:pPr>
        <w:numPr>
          <w:ilvl w:val="2"/>
          <w:numId w:val="1"/>
        </w:numPr>
      </w:pPr>
      <w:r>
        <w:t xml:space="preserve">Network space for coffees, lunches, </w:t>
      </w:r>
      <w:r w:rsidR="002E16AA">
        <w:t xml:space="preserve">etc. should be in </w:t>
      </w:r>
      <w:proofErr w:type="gramStart"/>
      <w:r w:rsidR="002E16AA">
        <w:t>close proximity</w:t>
      </w:r>
      <w:proofErr w:type="gramEnd"/>
    </w:p>
    <w:p w14:paraId="1AB3B361" w14:textId="77777777" w:rsidR="00E84634" w:rsidRPr="00E84634" w:rsidRDefault="00E84634" w:rsidP="00E84634">
      <w:pPr>
        <w:numPr>
          <w:ilvl w:val="1"/>
          <w:numId w:val="1"/>
        </w:numPr>
      </w:pPr>
      <w:r w:rsidRPr="00E84634">
        <w:t xml:space="preserve">Dedicated human resources to conference organization </w:t>
      </w:r>
    </w:p>
    <w:p w14:paraId="7AF561AF" w14:textId="5BDEE9D7" w:rsidR="00E84634" w:rsidRPr="00E84634" w:rsidRDefault="00E84634" w:rsidP="00E84634">
      <w:pPr>
        <w:numPr>
          <w:ilvl w:val="2"/>
          <w:numId w:val="1"/>
        </w:numPr>
      </w:pPr>
      <w:r w:rsidRPr="00E84634">
        <w:t xml:space="preserve">Strategic and operational project coordinators: commitment from high level of institutions plus </w:t>
      </w:r>
      <w:r w:rsidR="004A5BE9">
        <w:t xml:space="preserve">a team of </w:t>
      </w:r>
      <w:r w:rsidRPr="00E84634">
        <w:t>people who will run day to day of organizing.</w:t>
      </w:r>
    </w:p>
    <w:p w14:paraId="32B1616C" w14:textId="77777777" w:rsidR="00E84634" w:rsidRPr="00E84634" w:rsidRDefault="00E84634" w:rsidP="00E84634">
      <w:pPr>
        <w:numPr>
          <w:ilvl w:val="1"/>
          <w:numId w:val="1"/>
        </w:numPr>
        <w:contextualSpacing/>
      </w:pPr>
      <w:r w:rsidRPr="00E84634">
        <w:t xml:space="preserve">Any other partnerships (MOU) that are in place/need to be in place </w:t>
      </w:r>
    </w:p>
    <w:p w14:paraId="548C41A3" w14:textId="1B766B39" w:rsidR="00E84634" w:rsidRPr="00E84634" w:rsidRDefault="00E84634" w:rsidP="00466E66">
      <w:pPr>
        <w:numPr>
          <w:ilvl w:val="2"/>
          <w:numId w:val="1"/>
        </w:numPr>
        <w:contextualSpacing/>
      </w:pPr>
      <w:r w:rsidRPr="00E84634">
        <w:t xml:space="preserve">Please note that IST partners and sponsors are restricted to the public and non-profit spheres. </w:t>
      </w:r>
    </w:p>
    <w:p w14:paraId="23BEEB8C" w14:textId="77777777" w:rsidR="00E84634" w:rsidRPr="00E84634" w:rsidRDefault="00E84634" w:rsidP="00E84634">
      <w:pPr>
        <w:numPr>
          <w:ilvl w:val="1"/>
          <w:numId w:val="1"/>
        </w:numPr>
        <w:contextualSpacing/>
      </w:pPr>
      <w:r w:rsidRPr="00E84634">
        <w:t xml:space="preserve">Timeline of planning </w:t>
      </w:r>
    </w:p>
    <w:p w14:paraId="72280A57" w14:textId="28684956" w:rsidR="00E84634" w:rsidRDefault="00E84634" w:rsidP="007B09A4">
      <w:pPr>
        <w:numPr>
          <w:ilvl w:val="2"/>
          <w:numId w:val="1"/>
        </w:numPr>
        <w:contextualSpacing/>
      </w:pPr>
      <w:r w:rsidRPr="00E84634">
        <w:t>Highlighting key milestones and activities and key decisions that need to be made.</w:t>
      </w:r>
    </w:p>
    <w:p w14:paraId="47E9AB7E" w14:textId="6F992B6E" w:rsidR="00ED2F88" w:rsidRPr="007B09A4" w:rsidRDefault="00405158" w:rsidP="00E84634">
      <w:pPr>
        <w:numPr>
          <w:ilvl w:val="0"/>
          <w:numId w:val="1"/>
        </w:numPr>
        <w:rPr>
          <w:b/>
          <w:bCs/>
        </w:rPr>
      </w:pPr>
      <w:r w:rsidRPr="007B09A4">
        <w:rPr>
          <w:b/>
          <w:bCs/>
        </w:rPr>
        <w:t>Content-related</w:t>
      </w:r>
      <w:r w:rsidR="003855C2" w:rsidRPr="007B09A4">
        <w:rPr>
          <w:b/>
          <w:bCs/>
        </w:rPr>
        <w:t xml:space="preserve"> information on the planned conference:</w:t>
      </w:r>
    </w:p>
    <w:p w14:paraId="531620BE" w14:textId="2B9FC3E7" w:rsidR="003855C2" w:rsidRDefault="003855C2" w:rsidP="001638EE">
      <w:pPr>
        <w:numPr>
          <w:ilvl w:val="1"/>
          <w:numId w:val="1"/>
        </w:numPr>
      </w:pPr>
      <w:r w:rsidRPr="003855C2">
        <w:t>Please elaborate on the topic/focus of conference, why it is important, and key questions to be addressed</w:t>
      </w:r>
      <w:r w:rsidR="00522C56">
        <w:t>.</w:t>
      </w:r>
    </w:p>
    <w:p w14:paraId="7A73D9C6" w14:textId="4C3CEF1C" w:rsidR="000933A6" w:rsidRPr="000933A6" w:rsidRDefault="000933A6" w:rsidP="000933A6">
      <w:pPr>
        <w:numPr>
          <w:ilvl w:val="1"/>
          <w:numId w:val="1"/>
        </w:numPr>
      </w:pPr>
      <w:r w:rsidRPr="000933A6">
        <w:t xml:space="preserve">Engagement with practitioners </w:t>
      </w:r>
      <w:r w:rsidR="00956900">
        <w:t>and policymakers</w:t>
      </w:r>
    </w:p>
    <w:p w14:paraId="068A8A6F" w14:textId="6223FB18" w:rsidR="000933A6" w:rsidRPr="001638EE" w:rsidRDefault="000933A6" w:rsidP="000933A6">
      <w:pPr>
        <w:numPr>
          <w:ilvl w:val="2"/>
          <w:numId w:val="1"/>
        </w:numPr>
      </w:pPr>
      <w:r w:rsidRPr="000933A6">
        <w:t xml:space="preserve">Please detail how practitioners </w:t>
      </w:r>
      <w:r w:rsidR="00956900">
        <w:t xml:space="preserve">and policymakers </w:t>
      </w:r>
      <w:r w:rsidRPr="000933A6">
        <w:t>will be engaged - e.g. practitioner day or half-</w:t>
      </w:r>
      <w:proofErr w:type="gramStart"/>
      <w:r w:rsidRPr="000933A6">
        <w:t>day;</w:t>
      </w:r>
      <w:proofErr w:type="gramEnd"/>
      <w:r w:rsidRPr="000933A6">
        <w:t xml:space="preserve"> or reduced fees for practitioner access.</w:t>
      </w:r>
    </w:p>
    <w:p w14:paraId="1E35050D" w14:textId="0D202555" w:rsidR="005321E6" w:rsidRDefault="005321E6" w:rsidP="005321E6"/>
    <w:p w14:paraId="6C4AB273" w14:textId="51A585C1" w:rsidR="000E79C8" w:rsidRDefault="000E79C8" w:rsidP="003855C2">
      <w:pPr>
        <w:ind w:left="1440"/>
      </w:pPr>
    </w:p>
    <w:p w14:paraId="722C430D" w14:textId="644101DB" w:rsidR="00042704" w:rsidRDefault="00042704">
      <w:pPr>
        <w:spacing w:before="240" w:after="240"/>
        <w:rPr>
          <w:b/>
        </w:rPr>
      </w:pPr>
      <w:r>
        <w:rPr>
          <w:b/>
        </w:rPr>
        <w:t>Conferences relevant to STRN community (avoid</w:t>
      </w:r>
      <w:r w:rsidR="00CB01AF">
        <w:rPr>
          <w:b/>
        </w:rPr>
        <w:t xml:space="preserve"> timing</w:t>
      </w:r>
      <w:r>
        <w:rPr>
          <w:b/>
        </w:rPr>
        <w:t xml:space="preserve"> overlap with IST)</w:t>
      </w:r>
    </w:p>
    <w:p w14:paraId="64CB105D" w14:textId="0A7FB8EB" w:rsidR="00042704" w:rsidRPr="00042704" w:rsidRDefault="00042704" w:rsidP="00042704">
      <w:pPr>
        <w:pStyle w:val="ListParagraph"/>
        <w:numPr>
          <w:ilvl w:val="0"/>
          <w:numId w:val="3"/>
        </w:numPr>
        <w:spacing w:before="240" w:after="240"/>
      </w:pPr>
      <w:r w:rsidRPr="00042704">
        <w:t>NEST</w:t>
      </w:r>
      <w:r w:rsidR="00950C40">
        <w:t xml:space="preserve"> – please coordinate with NEST representatives.</w:t>
      </w:r>
    </w:p>
    <w:p w14:paraId="727C8708" w14:textId="672DEEA3" w:rsidR="00042704" w:rsidRPr="00042704" w:rsidRDefault="00042704" w:rsidP="00042704">
      <w:pPr>
        <w:pStyle w:val="ListParagraph"/>
        <w:numPr>
          <w:ilvl w:val="0"/>
          <w:numId w:val="3"/>
        </w:numPr>
        <w:spacing w:before="240" w:after="240"/>
      </w:pPr>
      <w:r w:rsidRPr="00042704">
        <w:t>EU-SPRI</w:t>
      </w:r>
      <w:r w:rsidR="00E47B39">
        <w:t xml:space="preserve"> – </w:t>
      </w:r>
      <w:r w:rsidR="00CC7367">
        <w:t xml:space="preserve">as so many members of our communities overlap, </w:t>
      </w:r>
      <w:r w:rsidR="00E47B39">
        <w:t xml:space="preserve">please ensure at least a 3 week </w:t>
      </w:r>
      <w:r w:rsidR="00CC7367">
        <w:t>break between the Eu-SPRI conference, held every year in the second week of June, and IST.</w:t>
      </w:r>
    </w:p>
    <w:p w14:paraId="343A9E95" w14:textId="6B3CAF88" w:rsidR="00042704" w:rsidRPr="00042704" w:rsidRDefault="00042704" w:rsidP="00042704">
      <w:pPr>
        <w:pStyle w:val="ListParagraph"/>
        <w:numPr>
          <w:ilvl w:val="0"/>
          <w:numId w:val="3"/>
        </w:numPr>
        <w:spacing w:before="240" w:after="240"/>
        <w:rPr>
          <w:b/>
        </w:rPr>
      </w:pPr>
      <w:r w:rsidRPr="00042704">
        <w:t>EA</w:t>
      </w:r>
      <w:r w:rsidR="0063018A">
        <w:t>S</w:t>
      </w:r>
      <w:r w:rsidRPr="00042704">
        <w:t>ST / 4S</w:t>
      </w:r>
    </w:p>
    <w:p w14:paraId="7084E6F3" w14:textId="5D75CFA6" w:rsidR="00042704" w:rsidRPr="00A01EDB" w:rsidRDefault="0063018A" w:rsidP="00042704">
      <w:pPr>
        <w:pStyle w:val="ListParagraph"/>
        <w:numPr>
          <w:ilvl w:val="0"/>
          <w:numId w:val="3"/>
        </w:numPr>
        <w:spacing w:before="240" w:after="240"/>
        <w:rPr>
          <w:bCs/>
        </w:rPr>
      </w:pPr>
      <w:r w:rsidRPr="00A01EDB">
        <w:rPr>
          <w:bCs/>
        </w:rPr>
        <w:t>ESG</w:t>
      </w:r>
    </w:p>
    <w:p w14:paraId="5AAF7B1A" w14:textId="0FBFDED1" w:rsidR="00042704" w:rsidRDefault="00042704">
      <w:pPr>
        <w:spacing w:before="240" w:after="240"/>
        <w:rPr>
          <w:b/>
        </w:rPr>
      </w:pPr>
    </w:p>
    <w:p w14:paraId="18E3F0FF" w14:textId="77777777" w:rsidR="00D27F63" w:rsidRDefault="00D27F63">
      <w:pPr>
        <w:spacing w:before="240" w:after="240"/>
        <w:rPr>
          <w:b/>
        </w:rPr>
      </w:pPr>
    </w:p>
    <w:p w14:paraId="4D27FB13" w14:textId="77777777" w:rsidR="00396BCF" w:rsidRDefault="00396BCF">
      <w:pPr>
        <w:spacing w:before="240" w:after="240"/>
        <w:rPr>
          <w:b/>
        </w:rPr>
      </w:pPr>
    </w:p>
    <w:p w14:paraId="21E228DD" w14:textId="77777777" w:rsidR="00396BCF" w:rsidRDefault="00396BCF">
      <w:pPr>
        <w:spacing w:before="240" w:after="240"/>
        <w:rPr>
          <w:b/>
        </w:rPr>
      </w:pPr>
    </w:p>
    <w:p w14:paraId="31AC427D" w14:textId="77777777" w:rsidR="00396BCF" w:rsidRDefault="00396BCF">
      <w:pPr>
        <w:spacing w:before="240" w:after="240"/>
        <w:rPr>
          <w:b/>
        </w:rPr>
      </w:pPr>
    </w:p>
    <w:p w14:paraId="4ED3A555" w14:textId="25940CCD" w:rsidR="00952D0D" w:rsidRDefault="00952D0D">
      <w:pPr>
        <w:spacing w:before="240" w:after="240"/>
        <w:rPr>
          <w:b/>
        </w:rPr>
      </w:pPr>
      <w:r>
        <w:rPr>
          <w:b/>
        </w:rPr>
        <w:lastRenderedPageBreak/>
        <w:t>Previous IST hosts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38"/>
        <w:gridCol w:w="4827"/>
        <w:gridCol w:w="3544"/>
      </w:tblGrid>
      <w:tr w:rsidR="00952D0D" w:rsidRPr="00FA4416" w14:paraId="6F62AE23" w14:textId="77777777" w:rsidTr="00FA4416">
        <w:tc>
          <w:tcPr>
            <w:tcW w:w="838" w:type="dxa"/>
          </w:tcPr>
          <w:p w14:paraId="7719689E" w14:textId="569C8AD4" w:rsidR="00952D0D" w:rsidRPr="00FA4416" w:rsidRDefault="00952D0D" w:rsidP="00952D0D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FA4416">
              <w:rPr>
                <w:b/>
                <w:sz w:val="20"/>
                <w:szCs w:val="20"/>
              </w:rPr>
              <w:t>Year</w:t>
            </w:r>
          </w:p>
        </w:tc>
        <w:tc>
          <w:tcPr>
            <w:tcW w:w="4827" w:type="dxa"/>
          </w:tcPr>
          <w:p w14:paraId="24CF7321" w14:textId="5E5E3B32" w:rsidR="00952D0D" w:rsidRPr="00FA4416" w:rsidRDefault="00952D0D" w:rsidP="00952D0D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FA4416">
              <w:rPr>
                <w:b/>
                <w:sz w:val="20"/>
                <w:szCs w:val="20"/>
              </w:rPr>
              <w:t>Host(s)</w:t>
            </w:r>
          </w:p>
        </w:tc>
        <w:tc>
          <w:tcPr>
            <w:tcW w:w="3544" w:type="dxa"/>
          </w:tcPr>
          <w:p w14:paraId="45808B09" w14:textId="362BD679" w:rsidR="00952D0D" w:rsidRPr="00FA4416" w:rsidRDefault="00952D0D" w:rsidP="00952D0D">
            <w:pPr>
              <w:spacing w:before="240" w:after="240"/>
              <w:jc w:val="center"/>
              <w:rPr>
                <w:b/>
                <w:sz w:val="20"/>
                <w:szCs w:val="20"/>
              </w:rPr>
            </w:pPr>
            <w:r w:rsidRPr="00FA4416">
              <w:rPr>
                <w:b/>
                <w:sz w:val="20"/>
                <w:szCs w:val="20"/>
              </w:rPr>
              <w:t>Link</w:t>
            </w:r>
          </w:p>
        </w:tc>
      </w:tr>
      <w:tr w:rsidR="002C121C" w:rsidRPr="00FA4416" w14:paraId="21BE1158" w14:textId="77777777" w:rsidTr="00FA4416">
        <w:tc>
          <w:tcPr>
            <w:tcW w:w="838" w:type="dxa"/>
          </w:tcPr>
          <w:p w14:paraId="20FA1C6C" w14:textId="74426C68" w:rsidR="002C121C" w:rsidRPr="00FA4416" w:rsidRDefault="002C121C" w:rsidP="00B15348">
            <w:pPr>
              <w:spacing w:before="240" w:after="240"/>
              <w:rPr>
                <w:bCs/>
                <w:sz w:val="20"/>
                <w:szCs w:val="20"/>
              </w:rPr>
            </w:pPr>
            <w:r w:rsidRPr="00FA4416"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4827" w:type="dxa"/>
          </w:tcPr>
          <w:p w14:paraId="3621189A" w14:textId="130DDC72" w:rsidR="002C121C" w:rsidRPr="00FA4416" w:rsidRDefault="002C121C" w:rsidP="00B15348">
            <w:pPr>
              <w:spacing w:before="240" w:after="240"/>
              <w:rPr>
                <w:bCs/>
                <w:sz w:val="20"/>
                <w:szCs w:val="20"/>
              </w:rPr>
            </w:pPr>
            <w:r w:rsidRPr="00FA4416">
              <w:rPr>
                <w:bCs/>
                <w:sz w:val="20"/>
                <w:szCs w:val="20"/>
              </w:rPr>
              <w:t>EAWAG and ETH, Zurich, Switzerland</w:t>
            </w:r>
          </w:p>
        </w:tc>
        <w:tc>
          <w:tcPr>
            <w:tcW w:w="3544" w:type="dxa"/>
          </w:tcPr>
          <w:p w14:paraId="2EB99CB8" w14:textId="4469E44D" w:rsidR="002C121C" w:rsidRPr="00FA4416" w:rsidRDefault="00B15348" w:rsidP="00B15348">
            <w:pPr>
              <w:spacing w:before="240" w:after="240"/>
              <w:rPr>
                <w:bCs/>
                <w:sz w:val="20"/>
                <w:szCs w:val="20"/>
              </w:rPr>
            </w:pPr>
            <w:r w:rsidRPr="00FA4416">
              <w:rPr>
                <w:bCs/>
                <w:sz w:val="20"/>
                <w:szCs w:val="20"/>
              </w:rPr>
              <w:t>https://www.transitionsnetwork.org/ist-2026/</w:t>
            </w:r>
          </w:p>
        </w:tc>
      </w:tr>
      <w:tr w:rsidR="00B87BCD" w:rsidRPr="00FA4416" w14:paraId="4D153593" w14:textId="77777777" w:rsidTr="00FA4416">
        <w:tc>
          <w:tcPr>
            <w:tcW w:w="838" w:type="dxa"/>
          </w:tcPr>
          <w:p w14:paraId="3B0D3DCE" w14:textId="31E88D23" w:rsidR="00B87BCD" w:rsidRPr="00FA4416" w:rsidRDefault="00B87BCD" w:rsidP="00952D0D">
            <w:pPr>
              <w:spacing w:before="240" w:after="240"/>
              <w:rPr>
                <w:sz w:val="20"/>
                <w:szCs w:val="20"/>
              </w:rPr>
            </w:pPr>
            <w:r w:rsidRPr="00FA4416">
              <w:rPr>
                <w:sz w:val="20"/>
                <w:szCs w:val="20"/>
              </w:rPr>
              <w:t>2025</w:t>
            </w:r>
          </w:p>
        </w:tc>
        <w:tc>
          <w:tcPr>
            <w:tcW w:w="4827" w:type="dxa"/>
          </w:tcPr>
          <w:p w14:paraId="0608D77D" w14:textId="4E4EB80F" w:rsidR="00B87BCD" w:rsidRPr="00FA4416" w:rsidRDefault="003B70EE" w:rsidP="00952D0D">
            <w:pPr>
              <w:spacing w:before="240" w:after="240"/>
              <w:rPr>
                <w:sz w:val="20"/>
                <w:szCs w:val="20"/>
              </w:rPr>
            </w:pPr>
            <w:r w:rsidRPr="00FA4416">
              <w:rPr>
                <w:sz w:val="20"/>
                <w:szCs w:val="20"/>
              </w:rPr>
              <w:t>DINÂMIA’CET-</w:t>
            </w:r>
            <w:proofErr w:type="spellStart"/>
            <w:r w:rsidRPr="00FA4416">
              <w:rPr>
                <w:sz w:val="20"/>
                <w:szCs w:val="20"/>
              </w:rPr>
              <w:t>Iscte</w:t>
            </w:r>
            <w:proofErr w:type="spellEnd"/>
            <w:r w:rsidRPr="00FA4416">
              <w:rPr>
                <w:sz w:val="20"/>
                <w:szCs w:val="20"/>
              </w:rPr>
              <w:t>, Centre for the Study of Socioeconomic Change and the Territory, Lisbon, Portugal</w:t>
            </w:r>
          </w:p>
        </w:tc>
        <w:tc>
          <w:tcPr>
            <w:tcW w:w="3544" w:type="dxa"/>
          </w:tcPr>
          <w:p w14:paraId="1C3F8D1C" w14:textId="09EAEE07" w:rsidR="00B87BCD" w:rsidRPr="00FA4416" w:rsidRDefault="0057620D" w:rsidP="00952D0D">
            <w:pPr>
              <w:spacing w:before="240" w:after="240"/>
              <w:rPr>
                <w:sz w:val="20"/>
                <w:szCs w:val="20"/>
              </w:rPr>
            </w:pPr>
            <w:r w:rsidRPr="00FA4416">
              <w:rPr>
                <w:sz w:val="20"/>
                <w:szCs w:val="20"/>
              </w:rPr>
              <w:t>https://www.transitionsnetwork.org/ist-2025/</w:t>
            </w:r>
          </w:p>
        </w:tc>
      </w:tr>
      <w:tr w:rsidR="00F00E2A" w:rsidRPr="00FA4416" w14:paraId="42FA5EFE" w14:textId="77777777" w:rsidTr="00FA4416">
        <w:tc>
          <w:tcPr>
            <w:tcW w:w="838" w:type="dxa"/>
          </w:tcPr>
          <w:p w14:paraId="51E69940" w14:textId="12EBBC35" w:rsidR="00F00E2A" w:rsidRPr="00FA4416" w:rsidRDefault="00F00E2A" w:rsidP="00952D0D">
            <w:pPr>
              <w:spacing w:before="240" w:after="240"/>
              <w:rPr>
                <w:sz w:val="20"/>
                <w:szCs w:val="20"/>
              </w:rPr>
            </w:pPr>
            <w:r w:rsidRPr="00FA4416">
              <w:rPr>
                <w:sz w:val="20"/>
                <w:szCs w:val="20"/>
              </w:rPr>
              <w:t>2024</w:t>
            </w:r>
          </w:p>
        </w:tc>
        <w:tc>
          <w:tcPr>
            <w:tcW w:w="4827" w:type="dxa"/>
          </w:tcPr>
          <w:p w14:paraId="16921B4C" w14:textId="240589D0" w:rsidR="00F00E2A" w:rsidRPr="00FA4416" w:rsidRDefault="003B6175" w:rsidP="00952D0D">
            <w:pPr>
              <w:spacing w:before="240" w:after="240"/>
              <w:rPr>
                <w:sz w:val="20"/>
                <w:szCs w:val="20"/>
              </w:rPr>
            </w:pPr>
            <w:r w:rsidRPr="00FA4416">
              <w:rPr>
                <w:sz w:val="20"/>
                <w:szCs w:val="20"/>
              </w:rPr>
              <w:t>University of Oslo, Oslo, Norway</w:t>
            </w:r>
          </w:p>
        </w:tc>
        <w:tc>
          <w:tcPr>
            <w:tcW w:w="3544" w:type="dxa"/>
          </w:tcPr>
          <w:p w14:paraId="7E2DED6D" w14:textId="69985F1F" w:rsidR="00F00E2A" w:rsidRPr="00FA4416" w:rsidRDefault="00B94E92" w:rsidP="00952D0D">
            <w:pPr>
              <w:spacing w:before="240" w:after="240"/>
              <w:rPr>
                <w:sz w:val="20"/>
                <w:szCs w:val="20"/>
              </w:rPr>
            </w:pPr>
            <w:r w:rsidRPr="00FA4416">
              <w:rPr>
                <w:sz w:val="20"/>
                <w:szCs w:val="20"/>
              </w:rPr>
              <w:t>https://transitionsnetwork.org/ist-2024/</w:t>
            </w:r>
          </w:p>
        </w:tc>
      </w:tr>
      <w:tr w:rsidR="00952D0D" w:rsidRPr="00FA4416" w14:paraId="14E5DB3A" w14:textId="77777777" w:rsidTr="00FA4416">
        <w:tc>
          <w:tcPr>
            <w:tcW w:w="838" w:type="dxa"/>
          </w:tcPr>
          <w:p w14:paraId="27ABDC8C" w14:textId="0BFD2F2A" w:rsidR="00952D0D" w:rsidRPr="00FA4416" w:rsidRDefault="00952D0D" w:rsidP="00952D0D">
            <w:pPr>
              <w:spacing w:before="240" w:after="240"/>
              <w:rPr>
                <w:sz w:val="20"/>
                <w:szCs w:val="20"/>
              </w:rPr>
            </w:pPr>
            <w:r w:rsidRPr="00FA4416">
              <w:rPr>
                <w:sz w:val="20"/>
                <w:szCs w:val="20"/>
              </w:rPr>
              <w:t>2023</w:t>
            </w:r>
          </w:p>
        </w:tc>
        <w:tc>
          <w:tcPr>
            <w:tcW w:w="4827" w:type="dxa"/>
          </w:tcPr>
          <w:p w14:paraId="0738B3D1" w14:textId="6FFBB611" w:rsidR="00952D0D" w:rsidRPr="00FA4416" w:rsidRDefault="00952D0D" w:rsidP="00952D0D">
            <w:pPr>
              <w:spacing w:before="240" w:after="240"/>
              <w:rPr>
                <w:sz w:val="20"/>
                <w:szCs w:val="20"/>
              </w:rPr>
            </w:pPr>
            <w:r w:rsidRPr="00FA4416">
              <w:rPr>
                <w:sz w:val="20"/>
                <w:szCs w:val="20"/>
              </w:rPr>
              <w:t>Utrecht University, Utrecht, N</w:t>
            </w:r>
            <w:r w:rsidR="003B6175" w:rsidRPr="00FA4416">
              <w:rPr>
                <w:sz w:val="20"/>
                <w:szCs w:val="20"/>
              </w:rPr>
              <w:t>etherlands</w:t>
            </w:r>
          </w:p>
        </w:tc>
        <w:tc>
          <w:tcPr>
            <w:tcW w:w="3544" w:type="dxa"/>
          </w:tcPr>
          <w:p w14:paraId="2556FAF2" w14:textId="2937382A" w:rsidR="00952D0D" w:rsidRPr="00FA4416" w:rsidRDefault="00952D0D" w:rsidP="00952D0D">
            <w:pPr>
              <w:spacing w:before="240" w:after="240"/>
              <w:rPr>
                <w:sz w:val="20"/>
                <w:szCs w:val="20"/>
              </w:rPr>
            </w:pPr>
            <w:r w:rsidRPr="00FA4416">
              <w:rPr>
                <w:sz w:val="20"/>
                <w:szCs w:val="20"/>
              </w:rPr>
              <w:t>https://ist2023.nl/</w:t>
            </w:r>
          </w:p>
        </w:tc>
      </w:tr>
      <w:tr w:rsidR="00952D0D" w:rsidRPr="00FA4416" w14:paraId="460ACEE4" w14:textId="77777777" w:rsidTr="00FA4416">
        <w:tc>
          <w:tcPr>
            <w:tcW w:w="838" w:type="dxa"/>
          </w:tcPr>
          <w:p w14:paraId="37BF54B3" w14:textId="13C23958" w:rsidR="00952D0D" w:rsidRPr="00FA4416" w:rsidRDefault="00952D0D" w:rsidP="00952D0D">
            <w:pPr>
              <w:spacing w:before="240" w:after="240"/>
              <w:rPr>
                <w:sz w:val="20"/>
                <w:szCs w:val="20"/>
              </w:rPr>
            </w:pPr>
            <w:r w:rsidRPr="00FA4416">
              <w:rPr>
                <w:sz w:val="20"/>
                <w:szCs w:val="20"/>
              </w:rPr>
              <w:t>2022</w:t>
            </w:r>
          </w:p>
        </w:tc>
        <w:tc>
          <w:tcPr>
            <w:tcW w:w="4827" w:type="dxa"/>
          </w:tcPr>
          <w:p w14:paraId="1A840B3C" w14:textId="5417E249" w:rsidR="00952D0D" w:rsidRPr="00FA4416" w:rsidRDefault="00952D0D" w:rsidP="00952D0D">
            <w:pPr>
              <w:spacing w:before="240" w:after="240"/>
              <w:rPr>
                <w:sz w:val="20"/>
                <w:szCs w:val="20"/>
              </w:rPr>
            </w:pPr>
            <w:r w:rsidRPr="00FA4416">
              <w:rPr>
                <w:sz w:val="20"/>
                <w:szCs w:val="20"/>
              </w:rPr>
              <w:t>Stellenbosch University, Stellenbosch, South Africa</w:t>
            </w:r>
          </w:p>
          <w:p w14:paraId="7723DAB2" w14:textId="77777777" w:rsidR="00952D0D" w:rsidRPr="00FA4416" w:rsidRDefault="00952D0D" w:rsidP="00952D0D">
            <w:pPr>
              <w:spacing w:before="240" w:after="240"/>
              <w:rPr>
                <w:sz w:val="20"/>
                <w:szCs w:val="20"/>
              </w:rPr>
            </w:pPr>
            <w:r w:rsidRPr="00FA4416">
              <w:rPr>
                <w:sz w:val="20"/>
                <w:szCs w:val="20"/>
              </w:rPr>
              <w:t>Monasch University, Melbourne, Australia</w:t>
            </w:r>
          </w:p>
          <w:p w14:paraId="422124BA" w14:textId="53B021C0" w:rsidR="00952D0D" w:rsidRPr="00FA4416" w:rsidRDefault="00952D0D" w:rsidP="00952D0D">
            <w:pPr>
              <w:spacing w:before="240" w:after="240"/>
              <w:rPr>
                <w:sz w:val="20"/>
                <w:szCs w:val="20"/>
              </w:rPr>
            </w:pPr>
            <w:r w:rsidRPr="00FA4416">
              <w:rPr>
                <w:sz w:val="20"/>
                <w:szCs w:val="20"/>
              </w:rPr>
              <w:t>Georgetown University, Washington D.C., USA</w:t>
            </w:r>
          </w:p>
        </w:tc>
        <w:tc>
          <w:tcPr>
            <w:tcW w:w="3544" w:type="dxa"/>
          </w:tcPr>
          <w:p w14:paraId="0C8ADB46" w14:textId="091CFD2E" w:rsidR="00952D0D" w:rsidRPr="00FA4416" w:rsidRDefault="00952D0D" w:rsidP="00952D0D">
            <w:pPr>
              <w:spacing w:before="240" w:after="240"/>
              <w:rPr>
                <w:sz w:val="20"/>
                <w:szCs w:val="20"/>
              </w:rPr>
            </w:pPr>
            <w:r w:rsidRPr="00FA4416">
              <w:rPr>
                <w:sz w:val="20"/>
                <w:szCs w:val="20"/>
              </w:rPr>
              <w:t>https://consultus.eventsair.com/ist2022-conference/</w:t>
            </w:r>
          </w:p>
        </w:tc>
      </w:tr>
      <w:tr w:rsidR="00952D0D" w:rsidRPr="00FA4416" w14:paraId="00F994E8" w14:textId="77777777" w:rsidTr="00FA4416">
        <w:tc>
          <w:tcPr>
            <w:tcW w:w="838" w:type="dxa"/>
          </w:tcPr>
          <w:p w14:paraId="27AFDF17" w14:textId="7855905E" w:rsidR="00952D0D" w:rsidRPr="00FA4416" w:rsidRDefault="00952D0D" w:rsidP="00952D0D">
            <w:pPr>
              <w:spacing w:before="240" w:after="240"/>
              <w:rPr>
                <w:sz w:val="20"/>
                <w:szCs w:val="20"/>
              </w:rPr>
            </w:pPr>
            <w:r w:rsidRPr="00FA4416">
              <w:rPr>
                <w:sz w:val="20"/>
                <w:szCs w:val="20"/>
              </w:rPr>
              <w:t>2021</w:t>
            </w:r>
          </w:p>
        </w:tc>
        <w:tc>
          <w:tcPr>
            <w:tcW w:w="4827" w:type="dxa"/>
          </w:tcPr>
          <w:p w14:paraId="210E3C2A" w14:textId="7EA68403" w:rsidR="00952D0D" w:rsidRPr="00FA4416" w:rsidRDefault="00952D0D" w:rsidP="00952D0D">
            <w:pPr>
              <w:spacing w:before="240" w:after="240"/>
              <w:rPr>
                <w:sz w:val="20"/>
                <w:szCs w:val="20"/>
              </w:rPr>
            </w:pPr>
            <w:r w:rsidRPr="00FA4416">
              <w:rPr>
                <w:sz w:val="20"/>
                <w:szCs w:val="20"/>
              </w:rPr>
              <w:t xml:space="preserve">Fraunhofer Institute for Systems and Innovation Research ISI, Karlsruhe, Germany </w:t>
            </w:r>
          </w:p>
        </w:tc>
        <w:tc>
          <w:tcPr>
            <w:tcW w:w="3544" w:type="dxa"/>
          </w:tcPr>
          <w:p w14:paraId="3A26E3AF" w14:textId="3B24619D" w:rsidR="00952D0D" w:rsidRPr="00FA4416" w:rsidRDefault="00952D0D" w:rsidP="00952D0D">
            <w:pPr>
              <w:spacing w:before="240" w:after="240"/>
              <w:rPr>
                <w:sz w:val="20"/>
                <w:szCs w:val="20"/>
              </w:rPr>
            </w:pPr>
            <w:r w:rsidRPr="00FA4416">
              <w:rPr>
                <w:sz w:val="20"/>
                <w:szCs w:val="20"/>
              </w:rPr>
              <w:t>https://www.ist2021-karlsruhe.de/ist2021-en/index.php</w:t>
            </w:r>
          </w:p>
        </w:tc>
      </w:tr>
      <w:tr w:rsidR="00952D0D" w:rsidRPr="00FA4416" w14:paraId="66ADE227" w14:textId="77777777" w:rsidTr="00FA4416">
        <w:tc>
          <w:tcPr>
            <w:tcW w:w="838" w:type="dxa"/>
          </w:tcPr>
          <w:p w14:paraId="01D24414" w14:textId="2441B44E" w:rsidR="00952D0D" w:rsidRPr="00FA4416" w:rsidRDefault="00952D0D" w:rsidP="00952D0D">
            <w:pPr>
              <w:spacing w:before="240" w:after="240"/>
              <w:rPr>
                <w:sz w:val="20"/>
                <w:szCs w:val="20"/>
              </w:rPr>
            </w:pPr>
            <w:r w:rsidRPr="00FA4416">
              <w:rPr>
                <w:sz w:val="20"/>
                <w:szCs w:val="20"/>
              </w:rPr>
              <w:t>2020</w:t>
            </w:r>
          </w:p>
        </w:tc>
        <w:tc>
          <w:tcPr>
            <w:tcW w:w="4827" w:type="dxa"/>
          </w:tcPr>
          <w:p w14:paraId="7AA394BC" w14:textId="4CE608C4" w:rsidR="00952D0D" w:rsidRPr="00FA4416" w:rsidRDefault="009C4C61" w:rsidP="00952D0D">
            <w:pPr>
              <w:spacing w:before="240" w:after="240"/>
              <w:rPr>
                <w:sz w:val="20"/>
                <w:szCs w:val="20"/>
              </w:rPr>
            </w:pPr>
            <w:r w:rsidRPr="00FA4416">
              <w:rPr>
                <w:sz w:val="20"/>
                <w:szCs w:val="20"/>
              </w:rPr>
              <w:t>AIT Austrian Institute of Technology, Vienna, Austria</w:t>
            </w:r>
          </w:p>
          <w:p w14:paraId="7A8A64CB" w14:textId="53671363" w:rsidR="009C4C61" w:rsidRPr="00FA4416" w:rsidRDefault="009C4C61" w:rsidP="00952D0D">
            <w:pPr>
              <w:spacing w:before="240" w:after="240"/>
              <w:rPr>
                <w:sz w:val="20"/>
                <w:szCs w:val="20"/>
              </w:rPr>
            </w:pPr>
            <w:r w:rsidRPr="00FA4416">
              <w:rPr>
                <w:sz w:val="20"/>
                <w:szCs w:val="20"/>
              </w:rPr>
              <w:t>Vienna University of Economics and Business, Vienna, Austria</w:t>
            </w:r>
          </w:p>
        </w:tc>
        <w:tc>
          <w:tcPr>
            <w:tcW w:w="3544" w:type="dxa"/>
          </w:tcPr>
          <w:p w14:paraId="2A49A78F" w14:textId="73B71A2A" w:rsidR="00952D0D" w:rsidRPr="00FA4416" w:rsidRDefault="009C4C61" w:rsidP="00952D0D">
            <w:pPr>
              <w:spacing w:before="240" w:after="240"/>
              <w:rPr>
                <w:sz w:val="20"/>
                <w:szCs w:val="20"/>
              </w:rPr>
            </w:pPr>
            <w:r w:rsidRPr="00FA4416">
              <w:rPr>
                <w:sz w:val="20"/>
                <w:szCs w:val="20"/>
              </w:rPr>
              <w:t>http://ist2020.at/</w:t>
            </w:r>
          </w:p>
        </w:tc>
      </w:tr>
      <w:tr w:rsidR="00952D0D" w:rsidRPr="00FA4416" w14:paraId="5FCC07B1" w14:textId="77777777" w:rsidTr="00FA4416">
        <w:tc>
          <w:tcPr>
            <w:tcW w:w="838" w:type="dxa"/>
          </w:tcPr>
          <w:p w14:paraId="37C9DDC4" w14:textId="20B56519" w:rsidR="00952D0D" w:rsidRPr="00FA4416" w:rsidRDefault="00952D0D" w:rsidP="00952D0D">
            <w:pPr>
              <w:spacing w:before="240" w:after="240"/>
              <w:rPr>
                <w:sz w:val="20"/>
                <w:szCs w:val="20"/>
              </w:rPr>
            </w:pPr>
            <w:r w:rsidRPr="00FA4416">
              <w:rPr>
                <w:sz w:val="20"/>
                <w:szCs w:val="20"/>
              </w:rPr>
              <w:t>2019</w:t>
            </w:r>
          </w:p>
        </w:tc>
        <w:tc>
          <w:tcPr>
            <w:tcW w:w="4827" w:type="dxa"/>
          </w:tcPr>
          <w:p w14:paraId="564D7BBF" w14:textId="15F20276" w:rsidR="00952D0D" w:rsidRPr="00FA4416" w:rsidRDefault="009C4C61" w:rsidP="00952D0D">
            <w:pPr>
              <w:spacing w:before="240" w:after="240"/>
              <w:rPr>
                <w:sz w:val="20"/>
                <w:szCs w:val="20"/>
              </w:rPr>
            </w:pPr>
            <w:r w:rsidRPr="00FA4416">
              <w:rPr>
                <w:sz w:val="20"/>
                <w:szCs w:val="20"/>
              </w:rPr>
              <w:t>Carleton University, Ottawa, Canada</w:t>
            </w:r>
          </w:p>
        </w:tc>
        <w:tc>
          <w:tcPr>
            <w:tcW w:w="3544" w:type="dxa"/>
          </w:tcPr>
          <w:p w14:paraId="75913C87" w14:textId="7EF576B9" w:rsidR="00952D0D" w:rsidRPr="00FA4416" w:rsidRDefault="009C4C61" w:rsidP="00952D0D">
            <w:pPr>
              <w:spacing w:before="240" w:after="240"/>
              <w:rPr>
                <w:sz w:val="20"/>
                <w:szCs w:val="20"/>
              </w:rPr>
            </w:pPr>
            <w:r w:rsidRPr="00FA4416">
              <w:rPr>
                <w:sz w:val="20"/>
                <w:szCs w:val="20"/>
              </w:rPr>
              <w:t>https://carleton.ca/istconference/</w:t>
            </w:r>
          </w:p>
        </w:tc>
      </w:tr>
      <w:tr w:rsidR="00952D0D" w:rsidRPr="00FA4416" w14:paraId="0741EE8D" w14:textId="77777777" w:rsidTr="00FA4416">
        <w:tc>
          <w:tcPr>
            <w:tcW w:w="838" w:type="dxa"/>
          </w:tcPr>
          <w:p w14:paraId="31500CDC" w14:textId="7CE702B5" w:rsidR="00952D0D" w:rsidRPr="00FA4416" w:rsidRDefault="009C4C61" w:rsidP="00952D0D">
            <w:pPr>
              <w:spacing w:before="240" w:after="240"/>
              <w:rPr>
                <w:sz w:val="20"/>
                <w:szCs w:val="20"/>
              </w:rPr>
            </w:pPr>
            <w:r w:rsidRPr="00FA4416">
              <w:rPr>
                <w:sz w:val="20"/>
                <w:szCs w:val="20"/>
              </w:rPr>
              <w:t>2018</w:t>
            </w:r>
          </w:p>
        </w:tc>
        <w:tc>
          <w:tcPr>
            <w:tcW w:w="4827" w:type="dxa"/>
          </w:tcPr>
          <w:p w14:paraId="670A1B8D" w14:textId="3414F2DE" w:rsidR="00952D0D" w:rsidRPr="00FA4416" w:rsidRDefault="009C4C61" w:rsidP="00952D0D">
            <w:pPr>
              <w:spacing w:before="240" w:after="240"/>
              <w:rPr>
                <w:sz w:val="20"/>
                <w:szCs w:val="20"/>
              </w:rPr>
            </w:pPr>
            <w:r w:rsidRPr="00FA4416">
              <w:rPr>
                <w:sz w:val="20"/>
                <w:szCs w:val="20"/>
              </w:rPr>
              <w:t>University of Manchester, Manchester, UK</w:t>
            </w:r>
          </w:p>
        </w:tc>
        <w:tc>
          <w:tcPr>
            <w:tcW w:w="3544" w:type="dxa"/>
          </w:tcPr>
          <w:p w14:paraId="09CFE2F1" w14:textId="16D5A834" w:rsidR="00952D0D" w:rsidRPr="00FA4416" w:rsidRDefault="009C4C61" w:rsidP="00952D0D">
            <w:pPr>
              <w:spacing w:before="240" w:after="240"/>
              <w:rPr>
                <w:sz w:val="20"/>
                <w:szCs w:val="20"/>
              </w:rPr>
            </w:pPr>
            <w:r w:rsidRPr="00FA4416">
              <w:rPr>
                <w:sz w:val="20"/>
                <w:szCs w:val="20"/>
              </w:rPr>
              <w:t>http://www.confercare.manchester.ac.uk/events/ist2018/</w:t>
            </w:r>
          </w:p>
        </w:tc>
      </w:tr>
    </w:tbl>
    <w:p w14:paraId="08BD8AEF" w14:textId="77777777" w:rsidR="000E79C8" w:rsidRDefault="000E79C8"/>
    <w:sectPr w:rsidR="000E79C8">
      <w:headerReference w:type="default" r:id="rId9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1207" w14:textId="77777777" w:rsidR="007D5FFA" w:rsidRDefault="007D5FFA" w:rsidP="00405158">
      <w:pPr>
        <w:spacing w:line="240" w:lineRule="auto"/>
      </w:pPr>
      <w:r>
        <w:separator/>
      </w:r>
    </w:p>
  </w:endnote>
  <w:endnote w:type="continuationSeparator" w:id="0">
    <w:p w14:paraId="551FDD3E" w14:textId="77777777" w:rsidR="007D5FFA" w:rsidRDefault="007D5FFA" w:rsidP="004051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CE88A" w14:textId="77777777" w:rsidR="007D5FFA" w:rsidRDefault="007D5FFA" w:rsidP="00405158">
      <w:pPr>
        <w:spacing w:line="240" w:lineRule="auto"/>
      </w:pPr>
      <w:r>
        <w:separator/>
      </w:r>
    </w:p>
  </w:footnote>
  <w:footnote w:type="continuationSeparator" w:id="0">
    <w:p w14:paraId="2E13A8FD" w14:textId="77777777" w:rsidR="007D5FFA" w:rsidRDefault="007D5FFA" w:rsidP="004051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AAC0D" w14:textId="7BD91545" w:rsidR="009A2507" w:rsidRDefault="009A2507" w:rsidP="009A2507">
    <w:pPr>
      <w:pStyle w:val="Header"/>
      <w:jc w:val="center"/>
    </w:pPr>
    <w:r w:rsidRPr="00B838C5">
      <w:rPr>
        <w:b/>
        <w:noProof/>
        <w:lang w:val="de-DE" w:eastAsia="de-DE"/>
      </w:rPr>
      <w:drawing>
        <wp:inline distT="0" distB="0" distL="0" distR="0" wp14:anchorId="5211E8AF" wp14:editId="31E1D791">
          <wp:extent cx="5943600" cy="1318260"/>
          <wp:effectExtent l="0" t="0" r="0" b="2540"/>
          <wp:docPr id="1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318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6C7A"/>
    <w:multiLevelType w:val="hybridMultilevel"/>
    <w:tmpl w:val="87C29094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" w15:restartNumberingAfterBreak="0">
    <w:nsid w:val="28FC1452"/>
    <w:multiLevelType w:val="hybridMultilevel"/>
    <w:tmpl w:val="7212AC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21009"/>
    <w:multiLevelType w:val="multilevel"/>
    <w:tmpl w:val="AB5EEB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E5416A1"/>
    <w:multiLevelType w:val="hybridMultilevel"/>
    <w:tmpl w:val="8B5027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64D44"/>
    <w:multiLevelType w:val="hybridMultilevel"/>
    <w:tmpl w:val="7EA6356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B33A6"/>
    <w:multiLevelType w:val="multilevel"/>
    <w:tmpl w:val="433004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4992AAE"/>
    <w:multiLevelType w:val="multilevel"/>
    <w:tmpl w:val="433004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C5159B0"/>
    <w:multiLevelType w:val="multilevel"/>
    <w:tmpl w:val="433004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F3247A4"/>
    <w:multiLevelType w:val="hybridMultilevel"/>
    <w:tmpl w:val="0FE4EAF4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175" w:hanging="135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210" w:hanging="135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45" w:hanging="135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80" w:hanging="135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15" w:hanging="135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350" w:hanging="135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85" w:hanging="135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20" w:hanging="135"/>
      </w:pPr>
      <w:rPr>
        <w:rFonts w:hint="default"/>
        <w:lang w:val="en-US" w:eastAsia="en-US" w:bidi="ar-SA"/>
      </w:rPr>
    </w:lvl>
  </w:abstractNum>
  <w:num w:numId="1" w16cid:durableId="427968222">
    <w:abstractNumId w:val="6"/>
  </w:num>
  <w:num w:numId="2" w16cid:durableId="1359695739">
    <w:abstractNumId w:val="2"/>
  </w:num>
  <w:num w:numId="3" w16cid:durableId="763185320">
    <w:abstractNumId w:val="3"/>
  </w:num>
  <w:num w:numId="4" w16cid:durableId="1990596985">
    <w:abstractNumId w:val="5"/>
  </w:num>
  <w:num w:numId="5" w16cid:durableId="2145152197">
    <w:abstractNumId w:val="7"/>
  </w:num>
  <w:num w:numId="6" w16cid:durableId="1771966758">
    <w:abstractNumId w:val="4"/>
  </w:num>
  <w:num w:numId="7" w16cid:durableId="809790503">
    <w:abstractNumId w:val="1"/>
  </w:num>
  <w:num w:numId="8" w16cid:durableId="763114706">
    <w:abstractNumId w:val="8"/>
  </w:num>
  <w:num w:numId="9" w16cid:durableId="31198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9C8"/>
    <w:rsid w:val="000031C2"/>
    <w:rsid w:val="0001185A"/>
    <w:rsid w:val="00016D22"/>
    <w:rsid w:val="00023A2E"/>
    <w:rsid w:val="00032517"/>
    <w:rsid w:val="00042704"/>
    <w:rsid w:val="00046828"/>
    <w:rsid w:val="00056E9D"/>
    <w:rsid w:val="00057B57"/>
    <w:rsid w:val="0008184F"/>
    <w:rsid w:val="00091B16"/>
    <w:rsid w:val="000933A6"/>
    <w:rsid w:val="000C60C7"/>
    <w:rsid w:val="000E79C8"/>
    <w:rsid w:val="000F0EB9"/>
    <w:rsid w:val="000F7549"/>
    <w:rsid w:val="001031FE"/>
    <w:rsid w:val="0010367F"/>
    <w:rsid w:val="001638EE"/>
    <w:rsid w:val="00175E20"/>
    <w:rsid w:val="00182855"/>
    <w:rsid w:val="00186E26"/>
    <w:rsid w:val="001A32C9"/>
    <w:rsid w:val="001B1239"/>
    <w:rsid w:val="001C0719"/>
    <w:rsid w:val="001C6B29"/>
    <w:rsid w:val="001F38A8"/>
    <w:rsid w:val="0023374B"/>
    <w:rsid w:val="00253294"/>
    <w:rsid w:val="00254CCF"/>
    <w:rsid w:val="00287B72"/>
    <w:rsid w:val="002959E0"/>
    <w:rsid w:val="002C121C"/>
    <w:rsid w:val="002E16AA"/>
    <w:rsid w:val="002F5F5C"/>
    <w:rsid w:val="00316B97"/>
    <w:rsid w:val="00334BA6"/>
    <w:rsid w:val="00347FB2"/>
    <w:rsid w:val="00376AE3"/>
    <w:rsid w:val="003855C2"/>
    <w:rsid w:val="00396BCF"/>
    <w:rsid w:val="003A1D13"/>
    <w:rsid w:val="003A4AAE"/>
    <w:rsid w:val="003B6175"/>
    <w:rsid w:val="003B70EE"/>
    <w:rsid w:val="003D37CB"/>
    <w:rsid w:val="003E1E4C"/>
    <w:rsid w:val="004037BC"/>
    <w:rsid w:val="00405158"/>
    <w:rsid w:val="0045058F"/>
    <w:rsid w:val="00454743"/>
    <w:rsid w:val="00466E66"/>
    <w:rsid w:val="00497878"/>
    <w:rsid w:val="004A0F93"/>
    <w:rsid w:val="004A246F"/>
    <w:rsid w:val="004A5BE9"/>
    <w:rsid w:val="004B4632"/>
    <w:rsid w:val="004B62E9"/>
    <w:rsid w:val="004D13BD"/>
    <w:rsid w:val="004D1726"/>
    <w:rsid w:val="004E45A7"/>
    <w:rsid w:val="004E49FD"/>
    <w:rsid w:val="0052020B"/>
    <w:rsid w:val="00522C56"/>
    <w:rsid w:val="005321E6"/>
    <w:rsid w:val="005515D1"/>
    <w:rsid w:val="00571FDF"/>
    <w:rsid w:val="00575E28"/>
    <w:rsid w:val="0057620D"/>
    <w:rsid w:val="00577553"/>
    <w:rsid w:val="0058755A"/>
    <w:rsid w:val="005A0BBF"/>
    <w:rsid w:val="005C31A2"/>
    <w:rsid w:val="005E1AA9"/>
    <w:rsid w:val="00610961"/>
    <w:rsid w:val="0063018A"/>
    <w:rsid w:val="00634F7C"/>
    <w:rsid w:val="00692B33"/>
    <w:rsid w:val="006C4AC8"/>
    <w:rsid w:val="006E3FB3"/>
    <w:rsid w:val="006E483D"/>
    <w:rsid w:val="006F5525"/>
    <w:rsid w:val="00711E48"/>
    <w:rsid w:val="007337D0"/>
    <w:rsid w:val="00765028"/>
    <w:rsid w:val="0079651A"/>
    <w:rsid w:val="007B09A4"/>
    <w:rsid w:val="007B4C7A"/>
    <w:rsid w:val="007D5FFA"/>
    <w:rsid w:val="007E73B9"/>
    <w:rsid w:val="007F0C2C"/>
    <w:rsid w:val="00805A30"/>
    <w:rsid w:val="00806A22"/>
    <w:rsid w:val="00860233"/>
    <w:rsid w:val="00927A69"/>
    <w:rsid w:val="00950C40"/>
    <w:rsid w:val="00952D0D"/>
    <w:rsid w:val="00956388"/>
    <w:rsid w:val="00956900"/>
    <w:rsid w:val="00965C21"/>
    <w:rsid w:val="009727A6"/>
    <w:rsid w:val="009A2507"/>
    <w:rsid w:val="009C4C61"/>
    <w:rsid w:val="009C4DAB"/>
    <w:rsid w:val="009C697F"/>
    <w:rsid w:val="009E6B74"/>
    <w:rsid w:val="009F231A"/>
    <w:rsid w:val="00A01EDB"/>
    <w:rsid w:val="00A160E0"/>
    <w:rsid w:val="00A21CD8"/>
    <w:rsid w:val="00A500B5"/>
    <w:rsid w:val="00A664E0"/>
    <w:rsid w:val="00A76EBA"/>
    <w:rsid w:val="00A82999"/>
    <w:rsid w:val="00A8779A"/>
    <w:rsid w:val="00A90D8E"/>
    <w:rsid w:val="00A93960"/>
    <w:rsid w:val="00AA2A9D"/>
    <w:rsid w:val="00AC345F"/>
    <w:rsid w:val="00AF35E5"/>
    <w:rsid w:val="00AF50E0"/>
    <w:rsid w:val="00AF6629"/>
    <w:rsid w:val="00B05C2A"/>
    <w:rsid w:val="00B141E3"/>
    <w:rsid w:val="00B15348"/>
    <w:rsid w:val="00B25830"/>
    <w:rsid w:val="00B33923"/>
    <w:rsid w:val="00B46CAD"/>
    <w:rsid w:val="00B47D67"/>
    <w:rsid w:val="00B53996"/>
    <w:rsid w:val="00B604FC"/>
    <w:rsid w:val="00B67BD9"/>
    <w:rsid w:val="00B838C5"/>
    <w:rsid w:val="00B87BCD"/>
    <w:rsid w:val="00B925E2"/>
    <w:rsid w:val="00B94E92"/>
    <w:rsid w:val="00BB6184"/>
    <w:rsid w:val="00BE6BDF"/>
    <w:rsid w:val="00C039C6"/>
    <w:rsid w:val="00C108BF"/>
    <w:rsid w:val="00C15FF1"/>
    <w:rsid w:val="00C17DCC"/>
    <w:rsid w:val="00C823AE"/>
    <w:rsid w:val="00C8313B"/>
    <w:rsid w:val="00C8528F"/>
    <w:rsid w:val="00CB01AF"/>
    <w:rsid w:val="00CC0CFD"/>
    <w:rsid w:val="00CC2F39"/>
    <w:rsid w:val="00CC58D4"/>
    <w:rsid w:val="00CC7367"/>
    <w:rsid w:val="00D14579"/>
    <w:rsid w:val="00D21D75"/>
    <w:rsid w:val="00D27F63"/>
    <w:rsid w:val="00D46FCD"/>
    <w:rsid w:val="00D5143E"/>
    <w:rsid w:val="00D55D96"/>
    <w:rsid w:val="00D622B8"/>
    <w:rsid w:val="00D641D0"/>
    <w:rsid w:val="00D902D6"/>
    <w:rsid w:val="00D96E75"/>
    <w:rsid w:val="00DC4405"/>
    <w:rsid w:val="00E15615"/>
    <w:rsid w:val="00E47B39"/>
    <w:rsid w:val="00E561DF"/>
    <w:rsid w:val="00E56A24"/>
    <w:rsid w:val="00E84634"/>
    <w:rsid w:val="00EA09B3"/>
    <w:rsid w:val="00EC4EB9"/>
    <w:rsid w:val="00ED2F88"/>
    <w:rsid w:val="00EF3ABB"/>
    <w:rsid w:val="00F00E2A"/>
    <w:rsid w:val="00F109E0"/>
    <w:rsid w:val="00F1546B"/>
    <w:rsid w:val="00F63E44"/>
    <w:rsid w:val="00F860FB"/>
    <w:rsid w:val="00F90E86"/>
    <w:rsid w:val="00FA4416"/>
    <w:rsid w:val="00FD014D"/>
    <w:rsid w:val="00FD5083"/>
    <w:rsid w:val="00FD54ED"/>
    <w:rsid w:val="00FF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8090D"/>
  <w15:docId w15:val="{40190A35-4B51-6744-891F-8A644303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AF66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66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66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6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62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6629"/>
    <w:pPr>
      <w:spacing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39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9C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042704"/>
    <w:pPr>
      <w:ind w:left="720"/>
      <w:contextualSpacing/>
    </w:pPr>
  </w:style>
  <w:style w:type="table" w:styleId="TableGrid">
    <w:name w:val="Table Grid"/>
    <w:basedOn w:val="TableNormal"/>
    <w:uiPriority w:val="39"/>
    <w:rsid w:val="00952D0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2D0D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515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51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515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A250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507"/>
  </w:style>
  <w:style w:type="paragraph" w:styleId="Footer">
    <w:name w:val="footer"/>
    <w:basedOn w:val="Normal"/>
    <w:link w:val="FooterChar"/>
    <w:uiPriority w:val="99"/>
    <w:unhideWhenUsed/>
    <w:rsid w:val="009A250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507"/>
  </w:style>
  <w:style w:type="character" w:styleId="UnresolvedMention">
    <w:name w:val="Unresolved Mention"/>
    <w:basedOn w:val="DefaultParagraphFont"/>
    <w:uiPriority w:val="99"/>
    <w:semiHidden/>
    <w:unhideWhenUsed/>
    <w:rsid w:val="00F1546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F38A8"/>
    <w:pPr>
      <w:widowControl w:val="0"/>
      <w:autoSpaceDE w:val="0"/>
      <w:autoSpaceDN w:val="0"/>
      <w:spacing w:line="240" w:lineRule="auto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F38A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nsitionsnetwor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7FB95-B506-4AF8-9336-529DD5B60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Schiller, Katharina</dc:creator>
  <cp:lastModifiedBy>Loos, Adriaan van der(TNOPartners)</cp:lastModifiedBy>
  <cp:revision>62</cp:revision>
  <cp:lastPrinted>2023-07-04T16:21:00Z</cp:lastPrinted>
  <dcterms:created xsi:type="dcterms:W3CDTF">2025-08-11T08:17:00Z</dcterms:created>
  <dcterms:modified xsi:type="dcterms:W3CDTF">2026-03-03T09:25:00Z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0d9bad3-6dac-4e9a-89a3-89f3b8d247b2_Enabled">
    <vt:lpwstr>true</vt:lpwstr>
  </property>
  <property fmtid="{D5CDD505-2E9C-101B-9397-08002B2CF9AE}" pid="3" name="MSIP_Label_10d9bad3-6dac-4e9a-89a3-89f3b8d247b2_SetDate">
    <vt:lpwstr>2023-04-19T09:46:10Z</vt:lpwstr>
  </property>
  <property fmtid="{D5CDD505-2E9C-101B-9397-08002B2CF9AE}" pid="4" name="MSIP_Label_10d9bad3-6dac-4e9a-89a3-89f3b8d247b2_Method">
    <vt:lpwstr>Standard</vt:lpwstr>
  </property>
  <property fmtid="{D5CDD505-2E9C-101B-9397-08002B2CF9AE}" pid="5" name="MSIP_Label_10d9bad3-6dac-4e9a-89a3-89f3b8d247b2_Name">
    <vt:lpwstr>10d9bad3-6dac-4e9a-89a3-89f3b8d247b2</vt:lpwstr>
  </property>
  <property fmtid="{D5CDD505-2E9C-101B-9397-08002B2CF9AE}" pid="6" name="MSIP_Label_10d9bad3-6dac-4e9a-89a3-89f3b8d247b2_SiteId">
    <vt:lpwstr>5d1a9f9d-201f-4a10-b983-451cf65cbc1e</vt:lpwstr>
  </property>
  <property fmtid="{D5CDD505-2E9C-101B-9397-08002B2CF9AE}" pid="7" name="MSIP_Label_10d9bad3-6dac-4e9a-89a3-89f3b8d247b2_ActionId">
    <vt:lpwstr>06aaabde-4e24-4d02-880b-1c96d3dbdf73</vt:lpwstr>
  </property>
  <property fmtid="{D5CDD505-2E9C-101B-9397-08002B2CF9AE}" pid="8" name="MSIP_Label_10d9bad3-6dac-4e9a-89a3-89f3b8d247b2_ContentBits">
    <vt:lpwstr>0</vt:lpwstr>
  </property>
</Properties>
</file>